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ectionLabel"/>
      </w:pPr>
      <w:r>
        <w:t>MARKET / PRODUCT STRATEGY / ROADMAP</w:t>
      </w:r>
    </w:p>
    <w:p>
      <w:pPr>
        <w:pStyle w:val="Title"/>
      </w:pPr>
      <w:r>
        <w:t>Museum Audio Guide</w:t>
      </w:r>
    </w:p>
    <w:p>
      <w:r>
        <w:rPr>
          <w:b/>
          <w:color w:val="147D92"/>
          <w:sz w:val="32"/>
        </w:rPr>
        <w:t>Competitive Analysis, Premium Pricing Strategy and CMS-Agnostic Roadmap</w:t>
      </w:r>
    </w:p>
    <w:p>
      <w:pPr>
        <w:spacing w:before="280"/>
      </w:pPr>
      <w:r>
        <w:rPr>
          <w:color w:val="55636D"/>
          <w:sz w:val="24"/>
        </w:rPr>
        <w:t>Consolidated working analysis based on the current MAG v1.12.11 product baseline and a review of major museum-guide platforms.</w:t>
      </w:r>
    </w:p>
    <w:p/>
    <w:tbl>
      <w:tblPr>
        <w:tblW w:type="auto" w:w="0"/>
        <w:jc w:val="center"/>
        <w:tblLook w:firstColumn="1" w:firstRow="1" w:lastColumn="0" w:lastRow="0" w:noHBand="0" w:noVBand="1" w:val="04A0"/>
      </w:tblPr>
      <w:tblGrid>
        <w:gridCol w:w="10052"/>
      </w:tblGrid>
      <w:tr>
        <w:trPr>
          <w:cantSplit w:val="true"/>
        </w:trPr>
        <w:tc>
          <w:tcPr>
            <w:tcW w:type="dxa" w:w="10052"/>
            <w:shd w:fill="EAF3F8"/>
            <w:tcMar>
              <w:top w:w="170" w:type="dxa"/>
              <w:start w:w="200" w:type="dxa"/>
              <w:bottom w:w="170" w:type="dxa"/>
              <w:end w:w="200" w:type="dxa"/>
            </w:tcMar>
          </w:tcPr>
          <w:p>
            <w:pPr>
              <w:spacing w:after="80"/>
            </w:pPr>
            <w:r>
              <w:rPr>
                <w:b/>
                <w:color w:val="173A52"/>
                <w:sz w:val="21"/>
              </w:rPr>
              <w:t>Strategic thesis</w:t>
            </w:r>
          </w:p>
          <w:p>
            <w:pPr>
              <w:spacing w:after="0" w:line="264" w:lineRule="auto"/>
            </w:pPr>
            <w:r>
              <w:rPr>
                <w:sz w:val="20"/>
              </w:rPr>
              <w:t>MAG should not be sold as a low-cost WordPress audio-guide plugin. The stronger position is a premium, museum-owned digital visitor platform: deeply integrated with the institution’s existing collection and CMS, deployable on its own infrastructure, configurable for enterprise workflows, and extensible through adapters to other CMS and collection-management systems.</w:t>
            </w:r>
          </w:p>
        </w:tc>
      </w:tr>
    </w:tbl>
    <w:p>
      <w:pPr>
        <w:spacing w:after="40"/>
      </w:pPr>
    </w:p>
    <w:tbl>
      <w:tblPr>
        <w:tblStyle w:val="TableGrid"/>
        <w:tblW w:type="auto" w:w="0"/>
        <w:jc w:val="center"/>
        <w:tblLook w:firstColumn="1" w:firstRow="1" w:lastColumn="0" w:lastRow="0" w:noHBand="0" w:noVBand="1" w:val="04A0"/>
      </w:tblPr>
      <w:tblGrid>
        <w:gridCol w:w="5026"/>
        <w:gridCol w:w="5026"/>
      </w:tblGrid>
      <w:tr>
        <w:trPr>
          <w:tblHeader w:val="true"/>
        </w:trPr>
        <w:tc>
          <w:tcPr>
            <w:tcW w:type="dxa" w:w="2880"/>
            <w:shd w:fill="173A52"/>
            <w:tcMar>
              <w:top w:w="110" w:type="dxa"/>
              <w:start w:w="125" w:type="dxa"/>
              <w:bottom w:w="110" w:type="dxa"/>
              <w:end w:w="125" w:type="dxa"/>
            </w:tcMar>
            <w:vAlign w:val="center"/>
          </w:tcPr>
          <w:p>
            <w:r>
              <w:rPr>
                <w:b/>
                <w:color w:val="FFFFFF"/>
                <w:sz w:val="17"/>
              </w:rPr>
              <w:t>Document scope</w:t>
            </w:r>
          </w:p>
        </w:tc>
        <w:tc>
          <w:tcPr>
            <w:tcW w:type="dxa" w:w="7343"/>
            <w:shd w:fill="173A52"/>
            <w:tcMar>
              <w:top w:w="110" w:type="dxa"/>
              <w:start w:w="125" w:type="dxa"/>
              <w:bottom w:w="110" w:type="dxa"/>
              <w:end w:w="125" w:type="dxa"/>
            </w:tcMar>
            <w:vAlign w:val="center"/>
          </w:tcPr>
          <w:p>
            <w:r>
              <w:rPr>
                <w:b/>
                <w:color w:val="FFFFFF"/>
                <w:sz w:val="17"/>
              </w:rPr>
              <w:t>Included</w:t>
            </w:r>
          </w:p>
        </w:tc>
      </w:tr>
      <w:tr>
        <w:tc>
          <w:tcPr>
            <w:tcW w:type="dxa" w:w="2880"/>
            <w:tcMar>
              <w:top w:w="110" w:type="dxa"/>
              <w:start w:w="125" w:type="dxa"/>
              <w:bottom w:w="110" w:type="dxa"/>
              <w:end w:w="125" w:type="dxa"/>
            </w:tcMar>
            <w:vAlign w:val="center"/>
          </w:tcPr>
          <w:p>
            <w:pPr>
              <w:spacing w:after="0" w:line="247" w:lineRule="auto"/>
            </w:pPr>
            <w:r>
              <w:rPr>
                <w:color w:val="26323A"/>
                <w:sz w:val="17"/>
              </w:rPr>
              <w:t>Current baseline</w:t>
            </w:r>
          </w:p>
        </w:tc>
        <w:tc>
          <w:tcPr>
            <w:tcW w:type="dxa" w:w="7343"/>
            <w:tcMar>
              <w:top w:w="110" w:type="dxa"/>
              <w:start w:w="125" w:type="dxa"/>
              <w:bottom w:w="110" w:type="dxa"/>
              <w:end w:w="125" w:type="dxa"/>
            </w:tcMar>
            <w:vAlign w:val="center"/>
          </w:tcPr>
          <w:p>
            <w:pPr>
              <w:spacing w:after="0" w:line="247" w:lineRule="auto"/>
            </w:pPr>
            <w:r>
              <w:rPr>
                <w:color w:val="26323A"/>
                <w:sz w:val="17"/>
              </w:rPr>
              <w:t>What MAG v1.12.11 already provides and where it is differentiated.</w:t>
            </w:r>
          </w:p>
        </w:tc>
      </w:tr>
      <w:tr>
        <w:tc>
          <w:tcPr>
            <w:tcW w:type="dxa" w:w="2880"/>
            <w:tcMar>
              <w:top w:w="110" w:type="dxa"/>
              <w:start w:w="125" w:type="dxa"/>
              <w:bottom w:w="110" w:type="dxa"/>
              <w:end w:w="125" w:type="dxa"/>
            </w:tcMar>
            <w:vAlign w:val="center"/>
          </w:tcPr>
          <w:p>
            <w:pPr>
              <w:spacing w:after="0" w:line="247" w:lineRule="auto"/>
            </w:pPr>
            <w:r>
              <w:rPr>
                <w:color w:val="26323A"/>
                <w:sz w:val="17"/>
              </w:rPr>
              <w:t>Competitive market</w:t>
            </w:r>
          </w:p>
        </w:tc>
        <w:tc>
          <w:tcPr>
            <w:tcW w:type="dxa" w:w="7343"/>
            <w:tcMar>
              <w:top w:w="110" w:type="dxa"/>
              <w:start w:w="125" w:type="dxa"/>
              <w:bottom w:w="110" w:type="dxa"/>
              <w:end w:w="125" w:type="dxa"/>
            </w:tcMar>
            <w:vAlign w:val="center"/>
          </w:tcPr>
          <w:p>
            <w:pPr>
              <w:spacing w:after="0" w:line="247" w:lineRule="auto"/>
            </w:pPr>
            <w:r>
              <w:rPr>
                <w:color w:val="26323A"/>
                <w:sz w:val="17"/>
              </w:rPr>
              <w:t>Smartify, Bloomberg Connects, STQRY, Nubart, Orpheo, Guide-ID, izi.TRAVEL, Musa, Convo, Museo.guide, Guidemate.</w:t>
            </w:r>
          </w:p>
        </w:tc>
      </w:tr>
      <w:tr>
        <w:tc>
          <w:tcPr>
            <w:tcW w:type="dxa" w:w="2880"/>
            <w:tcMar>
              <w:top w:w="110" w:type="dxa"/>
              <w:start w:w="125" w:type="dxa"/>
              <w:bottom w:w="110" w:type="dxa"/>
              <w:end w:w="125" w:type="dxa"/>
            </w:tcMar>
            <w:vAlign w:val="center"/>
          </w:tcPr>
          <w:p>
            <w:pPr>
              <w:spacing w:after="0" w:line="247" w:lineRule="auto"/>
            </w:pPr>
            <w:r>
              <w:rPr>
                <w:color w:val="26323A"/>
                <w:sz w:val="17"/>
              </w:rPr>
              <w:t>Feature benchmark</w:t>
            </w:r>
          </w:p>
        </w:tc>
        <w:tc>
          <w:tcPr>
            <w:tcW w:type="dxa" w:w="7343"/>
            <w:tcMar>
              <w:top w:w="110" w:type="dxa"/>
              <w:start w:w="125" w:type="dxa"/>
              <w:bottom w:w="110" w:type="dxa"/>
              <w:end w:w="125" w:type="dxa"/>
            </w:tcMar>
            <w:vAlign w:val="center"/>
          </w:tcPr>
          <w:p>
            <w:pPr>
              <w:spacing w:after="0" w:line="247" w:lineRule="auto"/>
            </w:pPr>
            <w:r>
              <w:rPr>
                <w:color w:val="26323A"/>
                <w:sz w:val="17"/>
              </w:rPr>
              <w:t>Competitive matrix and best ideas worth borrowing.</w:t>
            </w:r>
          </w:p>
        </w:tc>
      </w:tr>
      <w:tr>
        <w:tc>
          <w:tcPr>
            <w:tcW w:type="dxa" w:w="2880"/>
            <w:tcMar>
              <w:top w:w="110" w:type="dxa"/>
              <w:start w:w="125" w:type="dxa"/>
              <w:bottom w:w="110" w:type="dxa"/>
              <w:end w:w="125" w:type="dxa"/>
            </w:tcMar>
            <w:vAlign w:val="center"/>
          </w:tcPr>
          <w:p>
            <w:pPr>
              <w:spacing w:after="0" w:line="247" w:lineRule="auto"/>
            </w:pPr>
            <w:r>
              <w:rPr>
                <w:color w:val="26323A"/>
                <w:sz w:val="17"/>
              </w:rPr>
              <w:t>Product strategy</w:t>
            </w:r>
          </w:p>
        </w:tc>
        <w:tc>
          <w:tcPr>
            <w:tcW w:type="dxa" w:w="7343"/>
            <w:tcMar>
              <w:top w:w="110" w:type="dxa"/>
              <w:start w:w="125" w:type="dxa"/>
              <w:bottom w:w="110" w:type="dxa"/>
              <w:end w:w="125" w:type="dxa"/>
            </w:tcMar>
            <w:vAlign w:val="center"/>
          </w:tcPr>
          <w:p>
            <w:pPr>
              <w:spacing w:after="0" w:line="247" w:lineRule="auto"/>
            </w:pPr>
            <w:r>
              <w:rPr>
                <w:color w:val="26323A"/>
                <w:sz w:val="17"/>
              </w:rPr>
              <w:t>Positioning, enterprise differentiation, missing capabilities.</w:t>
            </w:r>
          </w:p>
        </w:tc>
      </w:tr>
      <w:tr>
        <w:tc>
          <w:tcPr>
            <w:tcW w:type="dxa" w:w="2880"/>
            <w:tcMar>
              <w:top w:w="110" w:type="dxa"/>
              <w:start w:w="125" w:type="dxa"/>
              <w:bottom w:w="110" w:type="dxa"/>
              <w:end w:w="125" w:type="dxa"/>
            </w:tcMar>
            <w:vAlign w:val="center"/>
          </w:tcPr>
          <w:p>
            <w:pPr>
              <w:spacing w:after="0" w:line="247" w:lineRule="auto"/>
            </w:pPr>
            <w:r>
              <w:rPr>
                <w:color w:val="26323A"/>
                <w:sz w:val="17"/>
              </w:rPr>
              <w:t>Commercial model</w:t>
            </w:r>
          </w:p>
        </w:tc>
        <w:tc>
          <w:tcPr>
            <w:tcW w:type="dxa" w:w="7343"/>
            <w:tcMar>
              <w:top w:w="110" w:type="dxa"/>
              <w:start w:w="125" w:type="dxa"/>
              <w:bottom w:w="110" w:type="dxa"/>
              <w:end w:w="125" w:type="dxa"/>
            </w:tcMar>
            <w:vAlign w:val="center"/>
          </w:tcPr>
          <w:p>
            <w:pPr>
              <w:spacing w:after="0" w:line="247" w:lineRule="auto"/>
            </w:pPr>
            <w:r>
              <w:rPr>
                <w:color w:val="26323A"/>
                <w:sz w:val="17"/>
              </w:rPr>
              <w:t>Premium annual licensing, implementation, SLA, AI modules and 3-year public-procurement packaging.</w:t>
            </w:r>
          </w:p>
        </w:tc>
      </w:tr>
      <w:tr>
        <w:tc>
          <w:tcPr>
            <w:tcW w:type="dxa" w:w="2880"/>
            <w:tcMar>
              <w:top w:w="110" w:type="dxa"/>
              <w:start w:w="125" w:type="dxa"/>
              <w:bottom w:w="110" w:type="dxa"/>
              <w:end w:w="125" w:type="dxa"/>
            </w:tcMar>
            <w:vAlign w:val="center"/>
          </w:tcPr>
          <w:p>
            <w:pPr>
              <w:spacing w:after="0" w:line="247" w:lineRule="auto"/>
            </w:pPr>
            <w:r>
              <w:rPr>
                <w:color w:val="26323A"/>
                <w:sz w:val="17"/>
              </w:rPr>
              <w:t>Roadmap</w:t>
            </w:r>
          </w:p>
        </w:tc>
        <w:tc>
          <w:tcPr>
            <w:tcW w:type="dxa" w:w="7343"/>
            <w:tcMar>
              <w:top w:w="110" w:type="dxa"/>
              <w:start w:w="125" w:type="dxa"/>
              <w:bottom w:w="110" w:type="dxa"/>
              <w:end w:w="125" w:type="dxa"/>
            </w:tcMar>
            <w:vAlign w:val="center"/>
          </w:tcPr>
          <w:p>
            <w:pPr>
              <w:spacing w:after="0" w:line="247" w:lineRule="auto"/>
            </w:pPr>
            <w:r>
              <w:rPr>
                <w:color w:val="26323A"/>
                <w:sz w:val="17"/>
              </w:rPr>
              <w:t>Near-term releases through MAG v2.x.</w:t>
            </w:r>
          </w:p>
        </w:tc>
      </w:tr>
      <w:tr>
        <w:tc>
          <w:tcPr>
            <w:tcW w:type="dxa" w:w="2880"/>
            <w:tcMar>
              <w:top w:w="110" w:type="dxa"/>
              <w:start w:w="125" w:type="dxa"/>
              <w:bottom w:w="110" w:type="dxa"/>
              <w:end w:w="125" w:type="dxa"/>
            </w:tcMar>
            <w:vAlign w:val="center"/>
          </w:tcPr>
          <w:p>
            <w:pPr>
              <w:spacing w:after="0" w:line="247" w:lineRule="auto"/>
            </w:pPr>
            <w:r>
              <w:rPr>
                <w:color w:val="26323A"/>
                <w:sz w:val="17"/>
              </w:rPr>
              <w:t>CMS strategy</w:t>
            </w:r>
          </w:p>
        </w:tc>
        <w:tc>
          <w:tcPr>
            <w:tcW w:type="dxa" w:w="7343"/>
            <w:tcMar>
              <w:top w:w="110" w:type="dxa"/>
              <w:start w:w="125" w:type="dxa"/>
              <w:bottom w:w="110" w:type="dxa"/>
              <w:end w:w="125" w:type="dxa"/>
            </w:tcMar>
            <w:vAlign w:val="center"/>
          </w:tcPr>
          <w:p>
            <w:pPr>
              <w:spacing w:after="0" w:line="247" w:lineRule="auto"/>
            </w:pPr>
            <w:r>
              <w:rPr>
                <w:color w:val="26323A"/>
                <w:sz w:val="17"/>
              </w:rPr>
              <w:t>WordPress plus future Drupal, Omeka S, Directus, Strapi and collection-system adapters.</w:t>
            </w:r>
          </w:p>
        </w:tc>
      </w:tr>
    </w:tbl>
    <w:p>
      <w:pPr>
        <w:spacing w:after="40"/>
      </w:pPr>
    </w:p>
    <w:p>
      <w:r>
        <w:br w:type="page"/>
      </w:r>
    </w:p>
    <w:p>
      <w:pPr>
        <w:pStyle w:val="Title"/>
      </w:pPr>
      <w:r>
        <w:t>Contents</w:t>
      </w:r>
    </w:p>
    <w:p>
      <w:pPr>
        <w:spacing w:after="60"/>
      </w:pPr>
      <w:r>
        <w:rPr>
          <w:color w:val="173A52"/>
          <w:sz w:val="20"/>
        </w:rPr>
        <w:t>1. Executive summary</w:t>
      </w:r>
    </w:p>
    <w:p>
      <w:pPr>
        <w:spacing w:after="60"/>
      </w:pPr>
      <w:r>
        <w:rPr>
          <w:color w:val="173A52"/>
          <w:sz w:val="20"/>
        </w:rPr>
        <w:t>2. MAG baseline and strategic starting point</w:t>
      </w:r>
    </w:p>
    <w:p>
      <w:pPr>
        <w:spacing w:after="60"/>
      </w:pPr>
      <w:r>
        <w:rPr>
          <w:color w:val="173A52"/>
          <w:sz w:val="20"/>
        </w:rPr>
        <w:t>3. Market structure</w:t>
      </w:r>
    </w:p>
    <w:p>
      <w:pPr>
        <w:spacing w:after="60"/>
      </w:pPr>
      <w:r>
        <w:rPr>
          <w:color w:val="173A52"/>
          <w:sz w:val="20"/>
        </w:rPr>
        <w:t>4. Competitive landscape overview</w:t>
      </w:r>
    </w:p>
    <w:p>
      <w:pPr>
        <w:spacing w:after="60"/>
      </w:pPr>
      <w:r>
        <w:rPr>
          <w:color w:val="173A52"/>
          <w:sz w:val="20"/>
        </w:rPr>
        <w:t>5. Competitor profiles</w:t>
      </w:r>
    </w:p>
    <w:p>
      <w:pPr>
        <w:spacing w:after="60"/>
      </w:pPr>
      <w:r>
        <w:rPr>
          <w:color w:val="173A52"/>
          <w:sz w:val="20"/>
        </w:rPr>
        <w:t>6. Competitive feature matrix</w:t>
      </w:r>
    </w:p>
    <w:p>
      <w:pPr>
        <w:spacing w:after="60"/>
      </w:pPr>
      <w:r>
        <w:rPr>
          <w:color w:val="173A52"/>
          <w:sz w:val="20"/>
        </w:rPr>
        <w:t>7. Best competitor ideas to incorporate</w:t>
      </w:r>
    </w:p>
    <w:p>
      <w:pPr>
        <w:spacing w:after="60"/>
      </w:pPr>
      <w:r>
        <w:rPr>
          <w:color w:val="173A52"/>
          <w:sz w:val="20"/>
        </w:rPr>
        <w:t>8. MAG advantages</w:t>
      </w:r>
    </w:p>
    <w:p>
      <w:pPr>
        <w:spacing w:after="60"/>
      </w:pPr>
      <w:r>
        <w:rPr>
          <w:color w:val="173A52"/>
          <w:sz w:val="20"/>
        </w:rPr>
        <w:t>9. Current gaps and risks</w:t>
      </w:r>
    </w:p>
    <w:p>
      <w:pPr>
        <w:spacing w:after="60"/>
      </w:pPr>
      <w:r>
        <w:rPr>
          <w:color w:val="173A52"/>
          <w:sz w:val="20"/>
        </w:rPr>
        <w:t>10. Premium market positioning</w:t>
      </w:r>
    </w:p>
    <w:p>
      <w:pPr>
        <w:spacing w:after="60"/>
      </w:pPr>
      <w:r>
        <w:rPr>
          <w:color w:val="173A52"/>
          <w:sz w:val="20"/>
        </w:rPr>
        <w:t>11. Pricing and commercial model</w:t>
      </w:r>
    </w:p>
    <w:p>
      <w:pPr>
        <w:spacing w:after="60"/>
      </w:pPr>
      <w:r>
        <w:rPr>
          <w:color w:val="173A52"/>
          <w:sz w:val="20"/>
        </w:rPr>
        <w:t>12. Product roadmap</w:t>
      </w:r>
    </w:p>
    <w:p>
      <w:pPr>
        <w:spacing w:after="60"/>
      </w:pPr>
      <w:r>
        <w:rPr>
          <w:color w:val="173A52"/>
          <w:sz w:val="20"/>
        </w:rPr>
        <w:t>13. CMS-agnostic integration strategy</w:t>
      </w:r>
    </w:p>
    <w:p>
      <w:pPr>
        <w:spacing w:after="60"/>
      </w:pPr>
      <w:r>
        <w:rPr>
          <w:color w:val="173A52"/>
          <w:sz w:val="20"/>
        </w:rPr>
        <w:t>14. Recommended architecture for CMS adapters</w:t>
      </w:r>
    </w:p>
    <w:p>
      <w:pPr>
        <w:spacing w:after="60"/>
      </w:pPr>
      <w:r>
        <w:rPr>
          <w:color w:val="173A52"/>
          <w:sz w:val="20"/>
        </w:rPr>
        <w:t>15. Priority integration targets</w:t>
      </w:r>
    </w:p>
    <w:p>
      <w:pPr>
        <w:spacing w:after="60"/>
      </w:pPr>
      <w:r>
        <w:rPr>
          <w:color w:val="173A52"/>
          <w:sz w:val="20"/>
        </w:rPr>
        <w:t>16. Go-to-market implications</w:t>
      </w:r>
    </w:p>
    <w:p>
      <w:pPr>
        <w:spacing w:after="60"/>
      </w:pPr>
      <w:r>
        <w:rPr>
          <w:color w:val="173A52"/>
          <w:sz w:val="20"/>
        </w:rPr>
        <w:t>17. Recommended 12-24 month plan</w:t>
      </w:r>
    </w:p>
    <w:p>
      <w:pPr>
        <w:spacing w:after="60"/>
      </w:pPr>
      <w:r>
        <w:rPr>
          <w:color w:val="173A52"/>
          <w:sz w:val="20"/>
        </w:rPr>
        <w:t>18. Key decisions</w:t>
      </w:r>
    </w:p>
    <w:p>
      <w:pPr>
        <w:spacing w:after="60"/>
      </w:pPr>
      <w:r>
        <w:rPr>
          <w:color w:val="173A52"/>
          <w:sz w:val="20"/>
        </w:rPr>
        <w:t>Appendix A. Source links and evidence notes</w:t>
      </w:r>
    </w:p>
    <w:p>
      <w:pPr>
        <w:spacing w:after="60"/>
      </w:pPr>
      <w:r>
        <w:rPr>
          <w:color w:val="173A52"/>
          <w:sz w:val="20"/>
        </w:rPr>
        <w:t>Appendix B. Terminology and proposed product naming</w:t>
      </w:r>
    </w:p>
    <w:p>
      <w:r>
        <w:br w:type="page"/>
      </w:r>
    </w:p>
    <w:p>
      <w:pPr>
        <w:pStyle w:val="Title"/>
      </w:pPr>
      <w:r>
        <w:t>1. Executive summary</w:t>
      </w:r>
    </w:p>
    <w:p>
      <w:r>
        <w:t>The museum digital-guide market is mature enough to validate strong institutional demand, but fragmented across several business models: shared cultural apps, white-label SaaS, browser/PWA guides, hardware-first systems and emerging AI-first platforms. The strongest products are no longer marketed as simple audio guides; they are positioned as digital visitor-experience platforms.</w:t>
      </w:r>
    </w:p>
    <w:p>
      <w:pPr>
        <w:pStyle w:val="ListBullet"/>
        <w:spacing w:after="60"/>
      </w:pPr>
      <w:r>
        <w:rPr>
          <w:b/>
        </w:rPr>
        <w:t xml:space="preserve">MAG is already beyond a basic audio-guide plugin. </w:t>
      </w:r>
      <w:r>
        <w:t>Its strongest assets are the object/space/story/tour/stop content model, REST/resolver architecture, museum-object integration, QR/NFC/number identity, indoor/outdoor mapping, editorial readiness checks, accessibility, analytics hooks and museum-controlled deployment.</w:t>
      </w:r>
    </w:p>
    <w:p>
      <w:pPr>
        <w:pStyle w:val="ListBullet"/>
        <w:spacing w:after="60"/>
      </w:pPr>
      <w:r>
        <w:rPr>
          <w:b/>
        </w:rPr>
        <w:t xml:space="preserve">The most relevant benchmark is Smartify. </w:t>
      </w:r>
      <w:r>
        <w:t>Its public pricing and broad feature set demonstrate that serious cultural institutions will pay materially more than commodity WordPress-plugin pricing for visitor platforms, integrations and support.</w:t>
      </w:r>
    </w:p>
    <w:p>
      <w:pPr>
        <w:pStyle w:val="ListBullet"/>
        <w:spacing w:after="60"/>
      </w:pPr>
      <w:r>
        <w:rPr>
          <w:b/>
        </w:rPr>
        <w:t xml:space="preserve">Bloomberg Connects cannot be beaten on price. </w:t>
      </w:r>
      <w:r>
        <w:t>Its free model is philanthropy-funded, so MAG should compete on ownership, integration, white-label control, infrastructure sovereignty and bespoke institutional workflows.</w:t>
      </w:r>
    </w:p>
    <w:p>
      <w:pPr>
        <w:pStyle w:val="ListBullet"/>
        <w:spacing w:after="60"/>
      </w:pPr>
      <w:r>
        <w:rPr>
          <w:b/>
        </w:rPr>
        <w:t xml:space="preserve">STQRY and Orpheo validate breadth and enterprise operations. </w:t>
      </w:r>
      <w:r>
        <w:t>They show demand for maps, geofencing, hardware options, games, analytics, content services and operational support.</w:t>
      </w:r>
    </w:p>
    <w:p>
      <w:pPr>
        <w:pStyle w:val="ListBullet"/>
        <w:spacing w:after="60"/>
      </w:pPr>
      <w:r>
        <w:rPr>
          <w:b/>
        </w:rPr>
        <w:t xml:space="preserve">Nubart validates frictionless BYOD and monetization. </w:t>
      </w:r>
      <w:r>
        <w:t>Its browser-based approach and paid-access QR concepts are directly relevant to MAG.</w:t>
      </w:r>
    </w:p>
    <w:p>
      <w:pPr>
        <w:pStyle w:val="ListBullet"/>
        <w:spacing w:after="60"/>
      </w:pPr>
      <w:r>
        <w:rPr>
          <w:b/>
        </w:rPr>
        <w:t xml:space="preserve">Musa and Convo signal the next product layer. </w:t>
      </w:r>
      <w:r>
        <w:t>Conversational AI, multilingual AI narration and visitor questions are emerging, but should follow a solid offline, workflow and analytics foundation.</w:t>
      </w:r>
    </w:p>
    <w:p>
      <w:pPr>
        <w:pStyle w:val="ListBullet"/>
        <w:spacing w:after="60"/>
      </w:pPr>
      <w:r>
        <w:rPr>
          <w:b/>
        </w:rPr>
        <w:t xml:space="preserve">The strategic pricing target should be premium. </w:t>
      </w:r>
      <w:r>
        <w:t>Rather than €100-€300/month commodity plans, MAG should target annual institutional licenses in the five-figure range plus implementation and SLA.</w:t>
      </w:r>
    </w:p>
    <w:p>
      <w:pPr>
        <w:pStyle w:val="ListBullet"/>
        <w:spacing w:after="60"/>
      </w:pPr>
      <w:r>
        <w:rPr>
          <w:b/>
        </w:rPr>
        <w:t xml:space="preserve">CMS expansion should be adapter-based, not fork-based. </w:t>
      </w:r>
      <w:r>
        <w:t>WordPress should become one source connector among several, with a stable MAG data contract supporting Drupal, Omeka S, Directus, Strapi and later collection-management systems such as TMS, MuseumPlus, Axiell or CollectionSpace.</w:t>
      </w:r>
    </w:p>
    <w:tbl>
      <w:tblPr>
        <w:tblW w:type="auto" w:w="0"/>
        <w:jc w:val="center"/>
        <w:tblLook w:firstColumn="1" w:firstRow="1" w:lastColumn="0" w:lastRow="0" w:noHBand="0" w:noVBand="1" w:val="04A0"/>
      </w:tblPr>
      <w:tblGrid>
        <w:gridCol w:w="10052"/>
      </w:tblGrid>
      <w:tr>
        <w:trPr>
          <w:cantSplit w:val="true"/>
        </w:trPr>
        <w:tc>
          <w:tcPr>
            <w:tcW w:type="dxa" w:w="10052"/>
            <w:shd w:fill="DDEFE4"/>
            <w:tcMar>
              <w:top w:w="170" w:type="dxa"/>
              <w:start w:w="200" w:type="dxa"/>
              <w:bottom w:w="170" w:type="dxa"/>
              <w:end w:w="200" w:type="dxa"/>
            </w:tcMar>
          </w:tcPr>
          <w:p>
            <w:pPr>
              <w:spacing w:after="80"/>
            </w:pPr>
            <w:r>
              <w:rPr>
                <w:b/>
                <w:color w:val="173A52"/>
                <w:sz w:val="21"/>
              </w:rPr>
              <w:t>Recommended positioning</w:t>
            </w:r>
          </w:p>
          <w:p>
            <w:pPr>
              <w:spacing w:after="0" w:line="264" w:lineRule="auto"/>
            </w:pPr>
            <w:r>
              <w:rPr>
                <w:sz w:val="20"/>
              </w:rPr>
              <w:t>MAG - Digital Visitor Platform for Museums. Market it as an institutional platform and implementation service; describe WordPress only as one supported deployment technology.</w:t>
            </w:r>
          </w:p>
        </w:tc>
      </w:tr>
    </w:tbl>
    <w:p>
      <w:pPr>
        <w:spacing w:after="40"/>
      </w:pPr>
    </w:p>
    <w:p>
      <w:pPr>
        <w:pStyle w:val="Title"/>
      </w:pPr>
      <w:r>
        <w:t>2. MAG baseline and strategic starting point</w:t>
      </w:r>
    </w:p>
    <w:p>
      <w:r>
        <w:t>The competitive analysis is most useful when measured against the actual v1.12.11 baseline. The current product already has several capabilities that are normally associated with dedicated museum platforms rather than simple audio plugins.</w:t>
      </w:r>
    </w:p>
    <w:tbl>
      <w:tblPr>
        <w:tblStyle w:val="TableGrid"/>
        <w:tblW w:type="auto" w:w="0"/>
        <w:jc w:val="center"/>
        <w:tblLook w:firstColumn="1" w:firstRow="1" w:lastColumn="0" w:lastRow="0" w:noHBand="0" w:noVBand="1" w:val="04A0"/>
      </w:tblPr>
      <w:tblGrid>
        <w:gridCol w:w="5026"/>
        <w:gridCol w:w="5026"/>
      </w:tblGrid>
      <w:tr>
        <w:trPr>
          <w:tblHeader w:val="true"/>
        </w:trPr>
        <w:tc>
          <w:tcPr>
            <w:tcW w:type="dxa" w:w="2376"/>
            <w:shd w:fill="173A52"/>
            <w:tcMar>
              <w:top w:w="110" w:type="dxa"/>
              <w:start w:w="125" w:type="dxa"/>
              <w:bottom w:w="110" w:type="dxa"/>
              <w:end w:w="125" w:type="dxa"/>
            </w:tcMar>
            <w:vAlign w:val="center"/>
          </w:tcPr>
          <w:p>
            <w:r>
              <w:rPr>
                <w:b/>
                <w:color w:val="FFFFFF"/>
                <w:sz w:val="17"/>
              </w:rPr>
              <w:t>Area</w:t>
            </w:r>
          </w:p>
        </w:tc>
        <w:tc>
          <w:tcPr>
            <w:tcW w:type="dxa" w:w="7848"/>
            <w:shd w:fill="173A52"/>
            <w:tcMar>
              <w:top w:w="110" w:type="dxa"/>
              <w:start w:w="125" w:type="dxa"/>
              <w:bottom w:w="110" w:type="dxa"/>
              <w:end w:w="125" w:type="dxa"/>
            </w:tcMar>
            <w:vAlign w:val="center"/>
          </w:tcPr>
          <w:p>
            <w:r>
              <w:rPr>
                <w:b/>
                <w:color w:val="FFFFFF"/>
                <w:sz w:val="17"/>
              </w:rPr>
              <w:t>Current MAG capability</w:t>
            </w:r>
          </w:p>
        </w:tc>
      </w:tr>
      <w:tr>
        <w:tc>
          <w:tcPr>
            <w:tcW w:type="dxa" w:w="2376"/>
            <w:tcMar>
              <w:top w:w="110" w:type="dxa"/>
              <w:start w:w="125" w:type="dxa"/>
              <w:bottom w:w="110" w:type="dxa"/>
              <w:end w:w="125" w:type="dxa"/>
            </w:tcMar>
            <w:vAlign w:val="center"/>
          </w:tcPr>
          <w:p>
            <w:pPr>
              <w:spacing w:after="0" w:line="247" w:lineRule="auto"/>
            </w:pPr>
            <w:r>
              <w:rPr>
                <w:color w:val="26323A"/>
                <w:sz w:val="17"/>
              </w:rPr>
              <w:t>Content model</w:t>
            </w:r>
          </w:p>
        </w:tc>
        <w:tc>
          <w:tcPr>
            <w:tcW w:type="dxa" w:w="7848"/>
            <w:tcMar>
              <w:top w:w="110" w:type="dxa"/>
              <w:start w:w="125" w:type="dxa"/>
              <w:bottom w:w="110" w:type="dxa"/>
              <w:end w:w="125" w:type="dxa"/>
            </w:tcMar>
            <w:vAlign w:val="center"/>
          </w:tcPr>
          <w:p>
            <w:pPr>
              <w:spacing w:after="0" w:line="247" w:lineRule="auto"/>
            </w:pPr>
            <w:r>
              <w:rPr>
                <w:color w:val="26323A"/>
                <w:sz w:val="17"/>
              </w:rPr>
              <w:t>Object, Space, Story, Tour and Tour Stop entities with inheritance/override logic.</w:t>
            </w:r>
          </w:p>
        </w:tc>
      </w:tr>
      <w:tr>
        <w:tc>
          <w:tcPr>
            <w:tcW w:type="dxa" w:w="2376"/>
            <w:tcMar>
              <w:top w:w="110" w:type="dxa"/>
              <w:start w:w="125" w:type="dxa"/>
              <w:bottom w:w="110" w:type="dxa"/>
              <w:end w:w="125" w:type="dxa"/>
            </w:tcMar>
            <w:vAlign w:val="center"/>
          </w:tcPr>
          <w:p>
            <w:pPr>
              <w:spacing w:after="0" w:line="247" w:lineRule="auto"/>
            </w:pPr>
            <w:r>
              <w:rPr>
                <w:color w:val="26323A"/>
                <w:sz w:val="17"/>
              </w:rPr>
              <w:t>Collection integration</w:t>
            </w:r>
          </w:p>
        </w:tc>
        <w:tc>
          <w:tcPr>
            <w:tcW w:type="dxa" w:w="7848"/>
            <w:tcMar>
              <w:top w:w="110" w:type="dxa"/>
              <w:start w:w="125" w:type="dxa"/>
              <w:bottom w:w="110" w:type="dxa"/>
              <w:end w:w="125" w:type="dxa"/>
            </w:tcMar>
            <w:vAlign w:val="center"/>
          </w:tcPr>
          <w:p>
            <w:pPr>
              <w:spacing w:after="0" w:line="247" w:lineRule="auto"/>
            </w:pPr>
            <w:r>
              <w:rPr>
                <w:color w:val="26323A"/>
                <w:sz w:val="17"/>
              </w:rPr>
              <w:t>Can use an existing museum object CPT rather than duplicating the collection.</w:t>
            </w:r>
          </w:p>
        </w:tc>
      </w:tr>
      <w:tr>
        <w:tc>
          <w:tcPr>
            <w:tcW w:type="dxa" w:w="2376"/>
            <w:tcMar>
              <w:top w:w="110" w:type="dxa"/>
              <w:start w:w="125" w:type="dxa"/>
              <w:bottom w:w="110" w:type="dxa"/>
              <w:end w:w="125" w:type="dxa"/>
            </w:tcMar>
            <w:vAlign w:val="center"/>
          </w:tcPr>
          <w:p>
            <w:pPr>
              <w:spacing w:after="0" w:line="247" w:lineRule="auto"/>
            </w:pPr>
            <w:r>
              <w:rPr>
                <w:color w:val="26323A"/>
                <w:sz w:val="17"/>
              </w:rPr>
              <w:t>Semantic mapping</w:t>
            </w:r>
          </w:p>
        </w:tc>
        <w:tc>
          <w:tcPr>
            <w:tcW w:type="dxa" w:w="7848"/>
            <w:tcMar>
              <w:top w:w="110" w:type="dxa"/>
              <w:start w:w="125" w:type="dxa"/>
              <w:bottom w:w="110" w:type="dxa"/>
              <w:end w:w="125" w:type="dxa"/>
            </w:tcMar>
            <w:vAlign w:val="center"/>
          </w:tcPr>
          <w:p>
            <w:pPr>
              <w:spacing w:after="0" w:line="247" w:lineRule="auto"/>
            </w:pPr>
            <w:r>
              <w:rPr>
                <w:color w:val="26323A"/>
                <w:sz w:val="17"/>
              </w:rPr>
              <w:t>Maps institution-specific metadata into a normalized guide schema.</w:t>
            </w:r>
          </w:p>
        </w:tc>
      </w:tr>
      <w:tr>
        <w:tc>
          <w:tcPr>
            <w:tcW w:type="dxa" w:w="2376"/>
            <w:tcMar>
              <w:top w:w="110" w:type="dxa"/>
              <w:start w:w="125" w:type="dxa"/>
              <w:bottom w:w="110" w:type="dxa"/>
              <w:end w:w="125" w:type="dxa"/>
            </w:tcMar>
            <w:vAlign w:val="center"/>
          </w:tcPr>
          <w:p>
            <w:pPr>
              <w:spacing w:after="0" w:line="247" w:lineRule="auto"/>
            </w:pPr>
            <w:r>
              <w:rPr>
                <w:color w:val="26323A"/>
                <w:sz w:val="17"/>
              </w:rPr>
              <w:t>API</w:t>
            </w:r>
          </w:p>
        </w:tc>
        <w:tc>
          <w:tcPr>
            <w:tcW w:type="dxa" w:w="7848"/>
            <w:tcMar>
              <w:top w:w="110" w:type="dxa"/>
              <w:start w:w="125" w:type="dxa"/>
              <w:bottom w:w="110" w:type="dxa"/>
              <w:end w:w="125" w:type="dxa"/>
            </w:tcMar>
            <w:vAlign w:val="center"/>
          </w:tcPr>
          <w:p>
            <w:pPr>
              <w:spacing w:after="0" w:line="247" w:lineRule="auto"/>
            </w:pPr>
            <w:r>
              <w:rPr>
                <w:color w:val="26323A"/>
                <w:sz w:val="17"/>
              </w:rPr>
              <w:t>Versioned REST API with resolver layer between WordPress/ACF and frontend.</w:t>
            </w:r>
          </w:p>
        </w:tc>
      </w:tr>
      <w:tr>
        <w:tc>
          <w:tcPr>
            <w:tcW w:type="dxa" w:w="2376"/>
            <w:tcMar>
              <w:top w:w="110" w:type="dxa"/>
              <w:start w:w="125" w:type="dxa"/>
              <w:bottom w:w="110" w:type="dxa"/>
              <w:end w:w="125" w:type="dxa"/>
            </w:tcMar>
            <w:vAlign w:val="center"/>
          </w:tcPr>
          <w:p>
            <w:pPr>
              <w:spacing w:after="0" w:line="247" w:lineRule="auto"/>
            </w:pPr>
            <w:r>
              <w:rPr>
                <w:color w:val="26323A"/>
                <w:sz w:val="17"/>
              </w:rPr>
              <w:t>Visitor UI</w:t>
            </w:r>
          </w:p>
        </w:tc>
        <w:tc>
          <w:tcPr>
            <w:tcW w:type="dxa" w:w="7848"/>
            <w:tcMar>
              <w:top w:w="110" w:type="dxa"/>
              <w:start w:w="125" w:type="dxa"/>
              <w:bottom w:w="110" w:type="dxa"/>
              <w:end w:w="125" w:type="dxa"/>
            </w:tcMar>
            <w:vAlign w:val="center"/>
          </w:tcPr>
          <w:p>
            <w:pPr>
              <w:spacing w:after="0" w:line="247" w:lineRule="auto"/>
            </w:pPr>
            <w:r>
              <w:rPr>
                <w:color w:val="26323A"/>
                <w:sz w:val="17"/>
              </w:rPr>
              <w:t>Mobile web application with deep links, saved items, recents and active-tour state.</w:t>
            </w:r>
          </w:p>
        </w:tc>
      </w:tr>
      <w:tr>
        <w:tc>
          <w:tcPr>
            <w:tcW w:type="dxa" w:w="2376"/>
            <w:tcMar>
              <w:top w:w="110" w:type="dxa"/>
              <w:start w:w="125" w:type="dxa"/>
              <w:bottom w:w="110" w:type="dxa"/>
              <w:end w:w="125" w:type="dxa"/>
            </w:tcMar>
            <w:vAlign w:val="center"/>
          </w:tcPr>
          <w:p>
            <w:pPr>
              <w:spacing w:after="0" w:line="247" w:lineRule="auto"/>
            </w:pPr>
            <w:r>
              <w:rPr>
                <w:color w:val="26323A"/>
                <w:sz w:val="17"/>
              </w:rPr>
              <w:t>Audio</w:t>
            </w:r>
          </w:p>
        </w:tc>
        <w:tc>
          <w:tcPr>
            <w:tcW w:type="dxa" w:w="7848"/>
            <w:tcMar>
              <w:top w:w="110" w:type="dxa"/>
              <w:start w:w="125" w:type="dxa"/>
              <w:bottom w:w="110" w:type="dxa"/>
              <w:end w:w="125" w:type="dxa"/>
            </w:tcMar>
            <w:vAlign w:val="center"/>
          </w:tcPr>
          <w:p>
            <w:pPr>
              <w:spacing w:after="0" w:line="247" w:lineRule="auto"/>
            </w:pPr>
            <w:r>
              <w:rPr>
                <w:color w:val="26323A"/>
                <w:sz w:val="17"/>
              </w:rPr>
              <w:t>Object/Space/Story/Stop audio, transcripts, automatic attachment duration and inline playback.</w:t>
            </w:r>
          </w:p>
        </w:tc>
      </w:tr>
      <w:tr>
        <w:tc>
          <w:tcPr>
            <w:tcW w:type="dxa" w:w="2376"/>
            <w:tcMar>
              <w:top w:w="110" w:type="dxa"/>
              <w:start w:w="125" w:type="dxa"/>
              <w:bottom w:w="110" w:type="dxa"/>
              <w:end w:w="125" w:type="dxa"/>
            </w:tcMar>
            <w:vAlign w:val="center"/>
          </w:tcPr>
          <w:p>
            <w:pPr>
              <w:spacing w:after="0" w:line="247" w:lineRule="auto"/>
            </w:pPr>
            <w:r>
              <w:rPr>
                <w:color w:val="26323A"/>
                <w:sz w:val="17"/>
              </w:rPr>
              <w:t>Stations</w:t>
            </w:r>
          </w:p>
        </w:tc>
        <w:tc>
          <w:tcPr>
            <w:tcW w:type="dxa" w:w="7848"/>
            <w:tcMar>
              <w:top w:w="110" w:type="dxa"/>
              <w:start w:w="125" w:type="dxa"/>
              <w:bottom w:w="110" w:type="dxa"/>
              <w:end w:w="125" w:type="dxa"/>
            </w:tcMar>
            <w:vAlign w:val="center"/>
          </w:tcPr>
          <w:p>
            <w:pPr>
              <w:spacing w:after="0" w:line="247" w:lineRule="auto"/>
            </w:pPr>
            <w:r>
              <w:rPr>
                <w:color w:val="26323A"/>
                <w:sz w:val="17"/>
              </w:rPr>
              <w:t>Manual number, QR and NFC share one canonical station identity.</w:t>
            </w:r>
          </w:p>
        </w:tc>
      </w:tr>
      <w:tr>
        <w:tc>
          <w:tcPr>
            <w:tcW w:type="dxa" w:w="2376"/>
            <w:tcMar>
              <w:top w:w="110" w:type="dxa"/>
              <w:start w:w="125" w:type="dxa"/>
              <w:bottom w:w="110" w:type="dxa"/>
              <w:end w:w="125" w:type="dxa"/>
            </w:tcMar>
            <w:vAlign w:val="center"/>
          </w:tcPr>
          <w:p>
            <w:pPr>
              <w:spacing w:after="0" w:line="247" w:lineRule="auto"/>
            </w:pPr>
            <w:r>
              <w:rPr>
                <w:color w:val="26323A"/>
                <w:sz w:val="17"/>
              </w:rPr>
              <w:t>Indoor</w:t>
            </w:r>
          </w:p>
        </w:tc>
        <w:tc>
          <w:tcPr>
            <w:tcW w:type="dxa" w:w="7848"/>
            <w:tcMar>
              <w:top w:w="110" w:type="dxa"/>
              <w:start w:w="125" w:type="dxa"/>
              <w:bottom w:w="110" w:type="dxa"/>
              <w:end w:w="125" w:type="dxa"/>
            </w:tcMar>
            <w:vAlign w:val="center"/>
          </w:tcPr>
          <w:p>
            <w:pPr>
              <w:spacing w:after="0" w:line="247" w:lineRule="auto"/>
            </w:pPr>
            <w:r>
              <w:rPr>
                <w:color w:val="26323A"/>
                <w:sz w:val="17"/>
              </w:rPr>
              <w:t>SVG maps, X/Y markers, parent-map inheritance and object markers.</w:t>
            </w:r>
          </w:p>
        </w:tc>
      </w:tr>
      <w:tr>
        <w:tc>
          <w:tcPr>
            <w:tcW w:type="dxa" w:w="2376"/>
            <w:tcMar>
              <w:top w:w="110" w:type="dxa"/>
              <w:start w:w="125" w:type="dxa"/>
              <w:bottom w:w="110" w:type="dxa"/>
              <w:end w:w="125" w:type="dxa"/>
            </w:tcMar>
            <w:vAlign w:val="center"/>
          </w:tcPr>
          <w:p>
            <w:pPr>
              <w:spacing w:after="0" w:line="247" w:lineRule="auto"/>
            </w:pPr>
            <w:r>
              <w:rPr>
                <w:color w:val="26323A"/>
                <w:sz w:val="17"/>
              </w:rPr>
              <w:t>Outdoor</w:t>
            </w:r>
          </w:p>
        </w:tc>
        <w:tc>
          <w:tcPr>
            <w:tcW w:type="dxa" w:w="7848"/>
            <w:tcMar>
              <w:top w:w="110" w:type="dxa"/>
              <w:start w:w="125" w:type="dxa"/>
              <w:bottom w:w="110" w:type="dxa"/>
              <w:end w:w="125" w:type="dxa"/>
            </w:tcMar>
            <w:vAlign w:val="center"/>
          </w:tcPr>
          <w:p>
            <w:pPr>
              <w:spacing w:after="0" w:line="247" w:lineRule="auto"/>
            </w:pPr>
            <w:r>
              <w:rPr>
                <w:color w:val="26323A"/>
                <w:sz w:val="17"/>
              </w:rPr>
              <w:t>Google Maps, browser geolocation, local distance calculation and privacy controls.</w:t>
            </w:r>
          </w:p>
        </w:tc>
      </w:tr>
      <w:tr>
        <w:tc>
          <w:tcPr>
            <w:tcW w:type="dxa" w:w="2376"/>
            <w:tcMar>
              <w:top w:w="110" w:type="dxa"/>
              <w:start w:w="125" w:type="dxa"/>
              <w:bottom w:w="110" w:type="dxa"/>
              <w:end w:w="125" w:type="dxa"/>
            </w:tcMar>
            <w:vAlign w:val="center"/>
          </w:tcPr>
          <w:p>
            <w:pPr>
              <w:spacing w:after="0" w:line="247" w:lineRule="auto"/>
            </w:pPr>
            <w:r>
              <w:rPr>
                <w:color w:val="26323A"/>
                <w:sz w:val="17"/>
              </w:rPr>
              <w:t>Multilingual</w:t>
            </w:r>
          </w:p>
        </w:tc>
        <w:tc>
          <w:tcPr>
            <w:tcW w:type="dxa" w:w="7848"/>
            <w:tcMar>
              <w:top w:w="110" w:type="dxa"/>
              <w:start w:w="125" w:type="dxa"/>
              <w:bottom w:w="110" w:type="dxa"/>
              <w:end w:w="125" w:type="dxa"/>
            </w:tcMar>
            <w:vAlign w:val="center"/>
          </w:tcPr>
          <w:p>
            <w:pPr>
              <w:spacing w:after="0" w:line="247" w:lineRule="auto"/>
            </w:pPr>
            <w:r>
              <w:rPr>
                <w:color w:val="26323A"/>
                <w:sz w:val="17"/>
              </w:rPr>
              <w:t>WPML integration; single-language fallback in v1.12.11.</w:t>
            </w:r>
          </w:p>
        </w:tc>
      </w:tr>
      <w:tr>
        <w:tc>
          <w:tcPr>
            <w:tcW w:type="dxa" w:w="2376"/>
            <w:tcMar>
              <w:top w:w="110" w:type="dxa"/>
              <w:start w:w="125" w:type="dxa"/>
              <w:bottom w:w="110" w:type="dxa"/>
              <w:end w:w="125" w:type="dxa"/>
            </w:tcMar>
            <w:vAlign w:val="center"/>
          </w:tcPr>
          <w:p>
            <w:pPr>
              <w:spacing w:after="0" w:line="247" w:lineRule="auto"/>
            </w:pPr>
            <w:r>
              <w:rPr>
                <w:color w:val="26323A"/>
                <w:sz w:val="17"/>
              </w:rPr>
              <w:t>Quality</w:t>
            </w:r>
          </w:p>
        </w:tc>
        <w:tc>
          <w:tcPr>
            <w:tcW w:type="dxa" w:w="7848"/>
            <w:tcMar>
              <w:top w:w="110" w:type="dxa"/>
              <w:start w:w="125" w:type="dxa"/>
              <w:bottom w:w="110" w:type="dxa"/>
              <w:end w:w="125" w:type="dxa"/>
            </w:tcMar>
            <w:vAlign w:val="center"/>
          </w:tcPr>
          <w:p>
            <w:pPr>
              <w:spacing w:after="0" w:line="247" w:lineRule="auto"/>
            </w:pPr>
            <w:r>
              <w:rPr>
                <w:color w:val="26323A"/>
                <w:sz w:val="17"/>
              </w:rPr>
              <w:t>Tour Health/readiness, diagnostics, preview, QA regression suite.</w:t>
            </w:r>
          </w:p>
        </w:tc>
      </w:tr>
      <w:tr>
        <w:tc>
          <w:tcPr>
            <w:tcW w:type="dxa" w:w="2376"/>
            <w:tcMar>
              <w:top w:w="110" w:type="dxa"/>
              <w:start w:w="125" w:type="dxa"/>
              <w:bottom w:w="110" w:type="dxa"/>
              <w:end w:w="125" w:type="dxa"/>
            </w:tcMar>
            <w:vAlign w:val="center"/>
          </w:tcPr>
          <w:p>
            <w:pPr>
              <w:spacing w:after="0" w:line="247" w:lineRule="auto"/>
            </w:pPr>
            <w:r>
              <w:rPr>
                <w:color w:val="26323A"/>
                <w:sz w:val="17"/>
              </w:rPr>
              <w:t>Enterprise foundations</w:t>
            </w:r>
          </w:p>
        </w:tc>
        <w:tc>
          <w:tcPr>
            <w:tcW w:type="dxa" w:w="7848"/>
            <w:tcMar>
              <w:top w:w="110" w:type="dxa"/>
              <w:start w:w="125" w:type="dxa"/>
              <w:bottom w:w="110" w:type="dxa"/>
              <w:end w:w="125" w:type="dxa"/>
            </w:tcMar>
            <w:vAlign w:val="center"/>
          </w:tcPr>
          <w:p>
            <w:pPr>
              <w:spacing w:after="0" w:line="247" w:lineRule="auto"/>
            </w:pPr>
            <w:r>
              <w:rPr>
                <w:color w:val="26323A"/>
                <w:sz w:val="17"/>
              </w:rPr>
              <w:t>Branding, UI terminology, import/export, capabilities, conservative uninstall and analytics event layer.</w:t>
            </w:r>
          </w:p>
        </w:tc>
      </w:tr>
    </w:tbl>
    <w:p>
      <w:pPr>
        <w:spacing w:after="40"/>
      </w:pPr>
    </w:p>
    <w:p>
      <w:r>
        <w:t>This means the development problem is no longer "build an audio guide". The next problem is to harden the platform for large institutional procurement: offline resilience, multilingual abstraction, publishing workflows, advanced analytics, access control/commerce, AI tooling and broader CMS/collections integration.</w:t>
      </w:r>
    </w:p>
    <w:p>
      <w:pPr>
        <w:pStyle w:val="Title"/>
      </w:pPr>
      <w:r>
        <w:t>3. Market structure</w:t>
      </w:r>
    </w:p>
    <w:tbl>
      <w:tblPr>
        <w:tblStyle w:val="TableGrid"/>
        <w:tblW w:type="auto" w:w="0"/>
        <w:jc w:val="center"/>
        <w:tblLook w:firstColumn="1" w:firstRow="1" w:lastColumn="0" w:lastRow="0" w:noHBand="0" w:noVBand="1" w:val="04A0"/>
      </w:tblPr>
      <w:tblGrid>
        <w:gridCol w:w="3351"/>
        <w:gridCol w:w="3351"/>
        <w:gridCol w:w="3351"/>
      </w:tblGrid>
      <w:tr>
        <w:trPr>
          <w:tblHeader w:val="true"/>
        </w:trPr>
        <w:tc>
          <w:tcPr>
            <w:tcW w:type="dxa" w:w="2520"/>
            <w:shd w:fill="173A52"/>
            <w:tcMar>
              <w:top w:w="110" w:type="dxa"/>
              <w:start w:w="125" w:type="dxa"/>
              <w:bottom w:w="110" w:type="dxa"/>
              <w:end w:w="125" w:type="dxa"/>
            </w:tcMar>
            <w:vAlign w:val="center"/>
          </w:tcPr>
          <w:p>
            <w:r>
              <w:rPr>
                <w:b/>
                <w:color w:val="FFFFFF"/>
                <w:sz w:val="17"/>
              </w:rPr>
              <w:t>Market category</w:t>
            </w:r>
          </w:p>
        </w:tc>
        <w:tc>
          <w:tcPr>
            <w:tcW w:type="dxa" w:w="2951"/>
            <w:shd w:fill="173A52"/>
            <w:tcMar>
              <w:top w:w="110" w:type="dxa"/>
              <w:start w:w="125" w:type="dxa"/>
              <w:bottom w:w="110" w:type="dxa"/>
              <w:end w:w="125" w:type="dxa"/>
            </w:tcMar>
            <w:vAlign w:val="center"/>
          </w:tcPr>
          <w:p>
            <w:r>
              <w:rPr>
                <w:b/>
                <w:color w:val="FFFFFF"/>
                <w:sz w:val="17"/>
              </w:rPr>
              <w:t>Typical players</w:t>
            </w:r>
          </w:p>
        </w:tc>
        <w:tc>
          <w:tcPr>
            <w:tcW w:type="dxa" w:w="4752"/>
            <w:shd w:fill="173A52"/>
            <w:tcMar>
              <w:top w:w="110" w:type="dxa"/>
              <w:start w:w="125" w:type="dxa"/>
              <w:bottom w:w="110" w:type="dxa"/>
              <w:end w:w="125" w:type="dxa"/>
            </w:tcMar>
            <w:vAlign w:val="center"/>
          </w:tcPr>
          <w:p>
            <w:r>
              <w:rPr>
                <w:b/>
                <w:color w:val="FFFFFF"/>
                <w:sz w:val="17"/>
              </w:rPr>
              <w:t>Primary value proposition</w:t>
            </w:r>
          </w:p>
        </w:tc>
      </w:tr>
      <w:tr>
        <w:tc>
          <w:tcPr>
            <w:tcW w:type="dxa" w:w="2520"/>
            <w:tcMar>
              <w:top w:w="110" w:type="dxa"/>
              <w:start w:w="125" w:type="dxa"/>
              <w:bottom w:w="110" w:type="dxa"/>
              <w:end w:w="125" w:type="dxa"/>
            </w:tcMar>
            <w:vAlign w:val="center"/>
          </w:tcPr>
          <w:p>
            <w:pPr>
              <w:spacing w:after="0" w:line="247" w:lineRule="auto"/>
            </w:pPr>
            <w:r>
              <w:rPr>
                <w:color w:val="26323A"/>
                <w:sz w:val="17"/>
              </w:rPr>
              <w:t>Shared cultural app</w:t>
            </w:r>
          </w:p>
        </w:tc>
        <w:tc>
          <w:tcPr>
            <w:tcW w:type="dxa" w:w="2951"/>
            <w:tcMar>
              <w:top w:w="110" w:type="dxa"/>
              <w:start w:w="125" w:type="dxa"/>
              <w:bottom w:w="110" w:type="dxa"/>
              <w:end w:w="125" w:type="dxa"/>
            </w:tcMar>
            <w:vAlign w:val="center"/>
          </w:tcPr>
          <w:p>
            <w:pPr>
              <w:spacing w:after="0" w:line="247" w:lineRule="auto"/>
            </w:pPr>
            <w:r>
              <w:rPr>
                <w:color w:val="26323A"/>
                <w:sz w:val="17"/>
              </w:rPr>
              <w:t>Bloomberg Connects, izi.TRAVEL</w:t>
            </w:r>
          </w:p>
        </w:tc>
        <w:tc>
          <w:tcPr>
            <w:tcW w:type="dxa" w:w="4752"/>
            <w:tcMar>
              <w:top w:w="110" w:type="dxa"/>
              <w:start w:w="125" w:type="dxa"/>
              <w:bottom w:w="110" w:type="dxa"/>
              <w:end w:w="125" w:type="dxa"/>
            </w:tcMar>
            <w:vAlign w:val="center"/>
          </w:tcPr>
          <w:p>
            <w:pPr>
              <w:spacing w:after="0" w:line="247" w:lineRule="auto"/>
            </w:pPr>
            <w:r>
              <w:rPr>
                <w:color w:val="26323A"/>
                <w:sz w:val="17"/>
              </w:rPr>
              <w:t>Mass distribution and discovery inside a common consumer app.</w:t>
            </w:r>
          </w:p>
        </w:tc>
      </w:tr>
      <w:tr>
        <w:tc>
          <w:tcPr>
            <w:tcW w:type="dxa" w:w="2520"/>
            <w:tcMar>
              <w:top w:w="110" w:type="dxa"/>
              <w:start w:w="125" w:type="dxa"/>
              <w:bottom w:w="110" w:type="dxa"/>
              <w:end w:w="125" w:type="dxa"/>
            </w:tcMar>
            <w:vAlign w:val="center"/>
          </w:tcPr>
          <w:p>
            <w:pPr>
              <w:spacing w:after="0" w:line="247" w:lineRule="auto"/>
            </w:pPr>
            <w:r>
              <w:rPr>
                <w:color w:val="26323A"/>
                <w:sz w:val="17"/>
              </w:rPr>
              <w:t>White-label / visitor SaaS</w:t>
            </w:r>
          </w:p>
        </w:tc>
        <w:tc>
          <w:tcPr>
            <w:tcW w:type="dxa" w:w="2951"/>
            <w:tcMar>
              <w:top w:w="110" w:type="dxa"/>
              <w:start w:w="125" w:type="dxa"/>
              <w:bottom w:w="110" w:type="dxa"/>
              <w:end w:w="125" w:type="dxa"/>
            </w:tcMar>
            <w:vAlign w:val="center"/>
          </w:tcPr>
          <w:p>
            <w:pPr>
              <w:spacing w:after="0" w:line="247" w:lineRule="auto"/>
            </w:pPr>
            <w:r>
              <w:rPr>
                <w:color w:val="26323A"/>
                <w:sz w:val="17"/>
              </w:rPr>
              <w:t>Smartify, STQRY</w:t>
            </w:r>
          </w:p>
        </w:tc>
        <w:tc>
          <w:tcPr>
            <w:tcW w:type="dxa" w:w="4752"/>
            <w:tcMar>
              <w:top w:w="110" w:type="dxa"/>
              <w:start w:w="125" w:type="dxa"/>
              <w:bottom w:w="110" w:type="dxa"/>
              <w:end w:w="125" w:type="dxa"/>
            </w:tcMar>
            <w:vAlign w:val="center"/>
          </w:tcPr>
          <w:p>
            <w:pPr>
              <w:spacing w:after="0" w:line="247" w:lineRule="auto"/>
            </w:pPr>
            <w:r>
              <w:rPr>
                <w:color w:val="26323A"/>
                <w:sz w:val="17"/>
              </w:rPr>
              <w:t>Institution-branded digital visitor platform with CMS and analytics.</w:t>
            </w:r>
          </w:p>
        </w:tc>
      </w:tr>
      <w:tr>
        <w:tc>
          <w:tcPr>
            <w:tcW w:type="dxa" w:w="2520"/>
            <w:tcMar>
              <w:top w:w="110" w:type="dxa"/>
              <w:start w:w="125" w:type="dxa"/>
              <w:bottom w:w="110" w:type="dxa"/>
              <w:end w:w="125" w:type="dxa"/>
            </w:tcMar>
            <w:vAlign w:val="center"/>
          </w:tcPr>
          <w:p>
            <w:pPr>
              <w:spacing w:after="0" w:line="247" w:lineRule="auto"/>
            </w:pPr>
            <w:r>
              <w:rPr>
                <w:color w:val="26323A"/>
                <w:sz w:val="17"/>
              </w:rPr>
              <w:t>Browser/PWA BYOD</w:t>
            </w:r>
          </w:p>
        </w:tc>
        <w:tc>
          <w:tcPr>
            <w:tcW w:type="dxa" w:w="2951"/>
            <w:tcMar>
              <w:top w:w="110" w:type="dxa"/>
              <w:start w:w="125" w:type="dxa"/>
              <w:bottom w:w="110" w:type="dxa"/>
              <w:end w:w="125" w:type="dxa"/>
            </w:tcMar>
            <w:vAlign w:val="center"/>
          </w:tcPr>
          <w:p>
            <w:pPr>
              <w:spacing w:after="0" w:line="247" w:lineRule="auto"/>
            </w:pPr>
            <w:r>
              <w:rPr>
                <w:color w:val="26323A"/>
                <w:sz w:val="17"/>
              </w:rPr>
              <w:t>Nubart, Musa, Museo.guide</w:t>
            </w:r>
          </w:p>
        </w:tc>
        <w:tc>
          <w:tcPr>
            <w:tcW w:type="dxa" w:w="4752"/>
            <w:tcMar>
              <w:top w:w="110" w:type="dxa"/>
              <w:start w:w="125" w:type="dxa"/>
              <w:bottom w:w="110" w:type="dxa"/>
              <w:end w:w="125" w:type="dxa"/>
            </w:tcMar>
            <w:vAlign w:val="center"/>
          </w:tcPr>
          <w:p>
            <w:pPr>
              <w:spacing w:after="0" w:line="247" w:lineRule="auto"/>
            </w:pPr>
            <w:r>
              <w:rPr>
                <w:color w:val="26323A"/>
                <w:sz w:val="17"/>
              </w:rPr>
              <w:t>No app install, QR entry, lower operational friction.</w:t>
            </w:r>
          </w:p>
        </w:tc>
      </w:tr>
      <w:tr>
        <w:tc>
          <w:tcPr>
            <w:tcW w:type="dxa" w:w="2520"/>
            <w:tcMar>
              <w:top w:w="110" w:type="dxa"/>
              <w:start w:w="125" w:type="dxa"/>
              <w:bottom w:w="110" w:type="dxa"/>
              <w:end w:w="125" w:type="dxa"/>
            </w:tcMar>
            <w:vAlign w:val="center"/>
          </w:tcPr>
          <w:p>
            <w:pPr>
              <w:spacing w:after="0" w:line="247" w:lineRule="auto"/>
            </w:pPr>
            <w:r>
              <w:rPr>
                <w:color w:val="26323A"/>
                <w:sz w:val="17"/>
              </w:rPr>
              <w:t>Hardware-first enterprise</w:t>
            </w:r>
          </w:p>
        </w:tc>
        <w:tc>
          <w:tcPr>
            <w:tcW w:type="dxa" w:w="2951"/>
            <w:tcMar>
              <w:top w:w="110" w:type="dxa"/>
              <w:start w:w="125" w:type="dxa"/>
              <w:bottom w:w="110" w:type="dxa"/>
              <w:end w:w="125" w:type="dxa"/>
            </w:tcMar>
            <w:vAlign w:val="center"/>
          </w:tcPr>
          <w:p>
            <w:pPr>
              <w:spacing w:after="0" w:line="247" w:lineRule="auto"/>
            </w:pPr>
            <w:r>
              <w:rPr>
                <w:color w:val="26323A"/>
                <w:sz w:val="17"/>
              </w:rPr>
              <w:t>Orpheo, Guide-ID</w:t>
            </w:r>
          </w:p>
        </w:tc>
        <w:tc>
          <w:tcPr>
            <w:tcW w:type="dxa" w:w="4752"/>
            <w:tcMar>
              <w:top w:w="110" w:type="dxa"/>
              <w:start w:w="125" w:type="dxa"/>
              <w:bottom w:w="110" w:type="dxa"/>
              <w:end w:w="125" w:type="dxa"/>
            </w:tcMar>
            <w:vAlign w:val="center"/>
          </w:tcPr>
          <w:p>
            <w:pPr>
              <w:spacing w:after="0" w:line="247" w:lineRule="auto"/>
            </w:pPr>
            <w:r>
              <w:rPr>
                <w:color w:val="26323A"/>
                <w:sz w:val="17"/>
              </w:rPr>
              <w:t>Dedicated devices, automatic triggering, fleet operations and turnkey services.</w:t>
            </w:r>
          </w:p>
        </w:tc>
      </w:tr>
      <w:tr>
        <w:tc>
          <w:tcPr>
            <w:tcW w:type="dxa" w:w="2520"/>
            <w:tcMar>
              <w:top w:w="110" w:type="dxa"/>
              <w:start w:w="125" w:type="dxa"/>
              <w:bottom w:w="110" w:type="dxa"/>
              <w:end w:w="125" w:type="dxa"/>
            </w:tcMar>
            <w:vAlign w:val="center"/>
          </w:tcPr>
          <w:p>
            <w:pPr>
              <w:spacing w:after="0" w:line="247" w:lineRule="auto"/>
            </w:pPr>
            <w:r>
              <w:rPr>
                <w:color w:val="26323A"/>
                <w:sz w:val="17"/>
              </w:rPr>
              <w:t>AI-first guide</w:t>
            </w:r>
          </w:p>
        </w:tc>
        <w:tc>
          <w:tcPr>
            <w:tcW w:type="dxa" w:w="2951"/>
            <w:tcMar>
              <w:top w:w="110" w:type="dxa"/>
              <w:start w:w="125" w:type="dxa"/>
              <w:bottom w:w="110" w:type="dxa"/>
              <w:end w:w="125" w:type="dxa"/>
            </w:tcMar>
            <w:vAlign w:val="center"/>
          </w:tcPr>
          <w:p>
            <w:pPr>
              <w:spacing w:after="0" w:line="247" w:lineRule="auto"/>
            </w:pPr>
            <w:r>
              <w:rPr>
                <w:color w:val="26323A"/>
                <w:sz w:val="17"/>
              </w:rPr>
              <w:t>Musa, Convo</w:t>
            </w:r>
          </w:p>
        </w:tc>
        <w:tc>
          <w:tcPr>
            <w:tcW w:type="dxa" w:w="4752"/>
            <w:tcMar>
              <w:top w:w="110" w:type="dxa"/>
              <w:start w:w="125" w:type="dxa"/>
              <w:bottom w:w="110" w:type="dxa"/>
              <w:end w:w="125" w:type="dxa"/>
            </w:tcMar>
            <w:vAlign w:val="center"/>
          </w:tcPr>
          <w:p>
            <w:pPr>
              <w:spacing w:after="0" w:line="247" w:lineRule="auto"/>
            </w:pPr>
            <w:r>
              <w:rPr>
                <w:color w:val="26323A"/>
                <w:sz w:val="17"/>
              </w:rPr>
              <w:t>Conversational visitor interaction, multilingual AI and rapid content production.</w:t>
            </w:r>
          </w:p>
        </w:tc>
      </w:tr>
      <w:tr>
        <w:tc>
          <w:tcPr>
            <w:tcW w:type="dxa" w:w="2520"/>
            <w:tcMar>
              <w:top w:w="110" w:type="dxa"/>
              <w:start w:w="125" w:type="dxa"/>
              <w:bottom w:w="110" w:type="dxa"/>
              <w:end w:w="125" w:type="dxa"/>
            </w:tcMar>
            <w:vAlign w:val="center"/>
          </w:tcPr>
          <w:p>
            <w:pPr>
              <w:spacing w:after="0" w:line="247" w:lineRule="auto"/>
            </w:pPr>
            <w:r>
              <w:rPr>
                <w:color w:val="26323A"/>
                <w:sz w:val="17"/>
              </w:rPr>
              <w:t>Custom institutional platform</w:t>
            </w:r>
          </w:p>
        </w:tc>
        <w:tc>
          <w:tcPr>
            <w:tcW w:type="dxa" w:w="2951"/>
            <w:tcMar>
              <w:top w:w="110" w:type="dxa"/>
              <w:start w:w="125" w:type="dxa"/>
              <w:bottom w:w="110" w:type="dxa"/>
              <w:end w:w="125" w:type="dxa"/>
            </w:tcMar>
            <w:vAlign w:val="center"/>
          </w:tcPr>
          <w:p>
            <w:pPr>
              <w:spacing w:after="0" w:line="247" w:lineRule="auto"/>
            </w:pPr>
            <w:r>
              <w:rPr>
                <w:color w:val="26323A"/>
                <w:sz w:val="17"/>
              </w:rPr>
              <w:t>Agency-built or internal systems</w:t>
            </w:r>
          </w:p>
        </w:tc>
        <w:tc>
          <w:tcPr>
            <w:tcW w:type="dxa" w:w="4752"/>
            <w:tcMar>
              <w:top w:w="110" w:type="dxa"/>
              <w:start w:w="125" w:type="dxa"/>
              <w:bottom w:w="110" w:type="dxa"/>
              <w:end w:w="125" w:type="dxa"/>
            </w:tcMar>
            <w:vAlign w:val="center"/>
          </w:tcPr>
          <w:p>
            <w:pPr>
              <w:spacing w:after="0" w:line="247" w:lineRule="auto"/>
            </w:pPr>
            <w:r>
              <w:rPr>
                <w:color w:val="26323A"/>
                <w:sz w:val="17"/>
              </w:rPr>
              <w:t>Maximum ownership and integration, but high project/maintenance cost.</w:t>
            </w:r>
          </w:p>
        </w:tc>
      </w:tr>
    </w:tbl>
    <w:p>
      <w:pPr>
        <w:spacing w:after="40"/>
      </w:pPr>
    </w:p>
    <w:p>
      <w:r>
        <w:t>MAG should deliberately sit between white-label visitor SaaS and custom institutional platforms: productized enough to deploy repeatedly, but configurable and institution-owned enough to satisfy large museums with existing digital infrastructure.</w:t>
      </w:r>
    </w:p>
    <w:p>
      <w:pPr>
        <w:pStyle w:val="Title"/>
      </w:pPr>
      <w:r>
        <w:t>4. Competitive landscape overview</w:t>
      </w:r>
    </w:p>
    <w:tbl>
      <w:tblPr>
        <w:tblStyle w:val="TableGrid"/>
        <w:tblW w:type="auto" w:w="0"/>
        <w:jc w:val="center"/>
        <w:tblLook w:firstColumn="1" w:firstRow="1" w:lastColumn="0" w:lastRow="0" w:noHBand="0" w:noVBand="1" w:val="04A0"/>
      </w:tblPr>
      <w:tblGrid>
        <w:gridCol w:w="2010"/>
        <w:gridCol w:w="2010"/>
        <w:gridCol w:w="2010"/>
        <w:gridCol w:w="2010"/>
        <w:gridCol w:w="2010"/>
      </w:tblGrid>
      <w:tr>
        <w:trPr>
          <w:tblHeader w:val="true"/>
        </w:trPr>
        <w:tc>
          <w:tcPr>
            <w:tcW w:type="dxa" w:w="1512"/>
            <w:shd w:fill="173A52"/>
            <w:tcMar>
              <w:top w:w="110" w:type="dxa"/>
              <w:start w:w="125" w:type="dxa"/>
              <w:bottom w:w="110" w:type="dxa"/>
              <w:end w:w="125" w:type="dxa"/>
            </w:tcMar>
            <w:vAlign w:val="center"/>
          </w:tcPr>
          <w:p>
            <w:r>
              <w:rPr>
                <w:b/>
                <w:color w:val="FFFFFF"/>
                <w:sz w:val="15"/>
              </w:rPr>
              <w:t>Platform</w:t>
            </w:r>
          </w:p>
        </w:tc>
        <w:tc>
          <w:tcPr>
            <w:tcW w:type="dxa" w:w="1655"/>
            <w:shd w:fill="173A52"/>
            <w:tcMar>
              <w:top w:w="110" w:type="dxa"/>
              <w:start w:w="125" w:type="dxa"/>
              <w:bottom w:w="110" w:type="dxa"/>
              <w:end w:w="125" w:type="dxa"/>
            </w:tcMar>
            <w:vAlign w:val="center"/>
          </w:tcPr>
          <w:p>
            <w:r>
              <w:rPr>
                <w:b/>
                <w:color w:val="FFFFFF"/>
                <w:sz w:val="15"/>
              </w:rPr>
              <w:t>Model</w:t>
            </w:r>
          </w:p>
        </w:tc>
        <w:tc>
          <w:tcPr>
            <w:tcW w:type="dxa" w:w="3384"/>
            <w:shd w:fill="173A52"/>
            <w:tcMar>
              <w:top w:w="110" w:type="dxa"/>
              <w:start w:w="125" w:type="dxa"/>
              <w:bottom w:w="110" w:type="dxa"/>
              <w:end w:w="125" w:type="dxa"/>
            </w:tcMar>
            <w:vAlign w:val="center"/>
          </w:tcPr>
          <w:p>
            <w:r>
              <w:rPr>
                <w:b/>
                <w:color w:val="FFFFFF"/>
                <w:sz w:val="15"/>
              </w:rPr>
              <w:t>Strongest functions</w:t>
            </w:r>
          </w:p>
        </w:tc>
        <w:tc>
          <w:tcPr>
            <w:tcW w:type="dxa" w:w="2376"/>
            <w:shd w:fill="173A52"/>
            <w:tcMar>
              <w:top w:w="110" w:type="dxa"/>
              <w:start w:w="125" w:type="dxa"/>
              <w:bottom w:w="110" w:type="dxa"/>
              <w:end w:w="125" w:type="dxa"/>
            </w:tcMar>
            <w:vAlign w:val="center"/>
          </w:tcPr>
          <w:p>
            <w:r>
              <w:rPr>
                <w:b/>
                <w:color w:val="FFFFFF"/>
                <w:sz w:val="15"/>
              </w:rPr>
              <w:t>Public pricing / model</w:t>
            </w:r>
          </w:p>
        </w:tc>
        <w:tc>
          <w:tcPr>
            <w:tcW w:type="dxa" w:w="2664"/>
            <w:shd w:fill="173A52"/>
            <w:tcMar>
              <w:top w:w="110" w:type="dxa"/>
              <w:start w:w="125" w:type="dxa"/>
              <w:bottom w:w="110" w:type="dxa"/>
              <w:end w:w="125" w:type="dxa"/>
            </w:tcMar>
            <w:vAlign w:val="center"/>
          </w:tcPr>
          <w:p>
            <w:r>
              <w:rPr>
                <w:b/>
                <w:color w:val="FFFFFF"/>
                <w:sz w:val="15"/>
              </w:rPr>
              <w:t>Publicly stated reach</w:t>
            </w:r>
          </w:p>
        </w:tc>
      </w:tr>
      <w:tr>
        <w:tc>
          <w:tcPr>
            <w:tcW w:type="dxa" w:w="1512"/>
            <w:tcMar>
              <w:top w:w="110" w:type="dxa"/>
              <w:start w:w="125" w:type="dxa"/>
              <w:bottom w:w="110" w:type="dxa"/>
              <w:end w:w="125" w:type="dxa"/>
            </w:tcMar>
            <w:vAlign w:val="center"/>
          </w:tcPr>
          <w:p>
            <w:pPr>
              <w:spacing w:after="0" w:line="247" w:lineRule="auto"/>
            </w:pPr>
            <w:r>
              <w:rPr>
                <w:color w:val="26323A"/>
                <w:sz w:val="15"/>
              </w:rPr>
              <w:t>Smartify</w:t>
            </w:r>
          </w:p>
        </w:tc>
        <w:tc>
          <w:tcPr>
            <w:tcW w:type="dxa" w:w="1655"/>
            <w:tcMar>
              <w:top w:w="110" w:type="dxa"/>
              <w:start w:w="125" w:type="dxa"/>
              <w:bottom w:w="110" w:type="dxa"/>
              <w:end w:w="125" w:type="dxa"/>
            </w:tcMar>
            <w:vAlign w:val="center"/>
          </w:tcPr>
          <w:p>
            <w:pPr>
              <w:spacing w:after="0" w:line="247" w:lineRule="auto"/>
            </w:pPr>
            <w:r>
              <w:rPr>
                <w:color w:val="26323A"/>
                <w:sz w:val="15"/>
              </w:rPr>
              <w:t>Enterprise visitor platform</w:t>
            </w:r>
          </w:p>
        </w:tc>
        <w:tc>
          <w:tcPr>
            <w:tcW w:type="dxa" w:w="3384"/>
            <w:tcMar>
              <w:top w:w="110" w:type="dxa"/>
              <w:start w:w="125" w:type="dxa"/>
              <w:bottom w:w="110" w:type="dxa"/>
              <w:end w:w="125" w:type="dxa"/>
            </w:tcMar>
            <w:vAlign w:val="center"/>
          </w:tcPr>
          <w:p>
            <w:pPr>
              <w:spacing w:after="0" w:line="247" w:lineRule="auto"/>
            </w:pPr>
            <w:r>
              <w:rPr>
                <w:color w:val="26323A"/>
                <w:sz w:val="15"/>
              </w:rPr>
              <w:t>PWA/native/hardware; tours; image recognition; wayfinding; AI; CRM/shop/ticketing</w:t>
            </w:r>
          </w:p>
        </w:tc>
        <w:tc>
          <w:tcPr>
            <w:tcW w:type="dxa" w:w="2376"/>
            <w:tcMar>
              <w:top w:w="110" w:type="dxa"/>
              <w:start w:w="125" w:type="dxa"/>
              <w:bottom w:w="110" w:type="dxa"/>
              <w:end w:w="125" w:type="dxa"/>
            </w:tcMar>
            <w:vAlign w:val="center"/>
          </w:tcPr>
          <w:p>
            <w:pPr>
              <w:spacing w:after="0" w:line="247" w:lineRule="auto"/>
            </w:pPr>
            <w:r>
              <w:rPr>
                <w:color w:val="26323A"/>
                <w:sz w:val="15"/>
              </w:rPr>
              <w:t>Free; £1,800/y Starter; £3,500/y Branded; £9,500/y Premium; Bespoke POA</w:t>
            </w:r>
          </w:p>
        </w:tc>
        <w:tc>
          <w:tcPr>
            <w:tcW w:type="dxa" w:w="2664"/>
            <w:tcMar>
              <w:top w:w="110" w:type="dxa"/>
              <w:start w:w="125" w:type="dxa"/>
              <w:bottom w:w="110" w:type="dxa"/>
              <w:end w:w="125" w:type="dxa"/>
            </w:tcMar>
            <w:vAlign w:val="center"/>
          </w:tcPr>
          <w:p>
            <w:pPr>
              <w:spacing w:after="0" w:line="247" w:lineRule="auto"/>
            </w:pPr>
            <w:r>
              <w:rPr>
                <w:color w:val="26323A"/>
                <w:sz w:val="15"/>
              </w:rPr>
              <w:t>Vendor states 1,200+ cultural organizations; technology supports 42m+ visitors/year</w:t>
            </w:r>
          </w:p>
        </w:tc>
      </w:tr>
      <w:tr>
        <w:tc>
          <w:tcPr>
            <w:tcW w:type="dxa" w:w="1512"/>
            <w:tcMar>
              <w:top w:w="110" w:type="dxa"/>
              <w:start w:w="125" w:type="dxa"/>
              <w:bottom w:w="110" w:type="dxa"/>
              <w:end w:w="125" w:type="dxa"/>
            </w:tcMar>
            <w:vAlign w:val="center"/>
          </w:tcPr>
          <w:p>
            <w:pPr>
              <w:spacing w:after="0" w:line="247" w:lineRule="auto"/>
            </w:pPr>
            <w:r>
              <w:rPr>
                <w:color w:val="26323A"/>
                <w:sz w:val="15"/>
              </w:rPr>
              <w:t>Bloomberg Connects</w:t>
            </w:r>
          </w:p>
        </w:tc>
        <w:tc>
          <w:tcPr>
            <w:tcW w:type="dxa" w:w="1655"/>
            <w:tcMar>
              <w:top w:w="110" w:type="dxa"/>
              <w:start w:w="125" w:type="dxa"/>
              <w:bottom w:w="110" w:type="dxa"/>
              <w:end w:w="125" w:type="dxa"/>
            </w:tcMar>
            <w:vAlign w:val="center"/>
          </w:tcPr>
          <w:p>
            <w:pPr>
              <w:spacing w:after="0" w:line="247" w:lineRule="auto"/>
            </w:pPr>
            <w:r>
              <w:rPr>
                <w:color w:val="26323A"/>
                <w:sz w:val="15"/>
              </w:rPr>
              <w:t>Shared cultural app</w:t>
            </w:r>
          </w:p>
        </w:tc>
        <w:tc>
          <w:tcPr>
            <w:tcW w:type="dxa" w:w="3384"/>
            <w:tcMar>
              <w:top w:w="110" w:type="dxa"/>
              <w:start w:w="125" w:type="dxa"/>
              <w:bottom w:w="110" w:type="dxa"/>
              <w:end w:w="125" w:type="dxa"/>
            </w:tcMar>
            <w:vAlign w:val="center"/>
          </w:tcPr>
          <w:p>
            <w:pPr>
              <w:spacing w:after="0" w:line="247" w:lineRule="auto"/>
            </w:pPr>
            <w:r>
              <w:rPr>
                <w:color w:val="26323A"/>
                <w:sz w:val="15"/>
              </w:rPr>
              <w:t>Audio/video/text; offline; maps; accessibility; discovery</w:t>
            </w:r>
          </w:p>
        </w:tc>
        <w:tc>
          <w:tcPr>
            <w:tcW w:type="dxa" w:w="2376"/>
            <w:tcMar>
              <w:top w:w="110" w:type="dxa"/>
              <w:start w:w="125" w:type="dxa"/>
              <w:bottom w:w="110" w:type="dxa"/>
              <w:end w:w="125" w:type="dxa"/>
            </w:tcMar>
            <w:vAlign w:val="center"/>
          </w:tcPr>
          <w:p>
            <w:pPr>
              <w:spacing w:after="0" w:line="247" w:lineRule="auto"/>
            </w:pPr>
            <w:r>
              <w:rPr>
                <w:color w:val="26323A"/>
                <w:sz w:val="15"/>
              </w:rPr>
              <w:t>Free to institution and visitor; philanthropy funded</w:t>
            </w:r>
          </w:p>
        </w:tc>
        <w:tc>
          <w:tcPr>
            <w:tcW w:type="dxa" w:w="2664"/>
            <w:tcMar>
              <w:top w:w="110" w:type="dxa"/>
              <w:start w:w="125" w:type="dxa"/>
              <w:bottom w:w="110" w:type="dxa"/>
              <w:end w:w="125" w:type="dxa"/>
            </w:tcMar>
            <w:vAlign w:val="center"/>
          </w:tcPr>
          <w:p>
            <w:pPr>
              <w:spacing w:after="0" w:line="247" w:lineRule="auto"/>
            </w:pPr>
            <w:r>
              <w:rPr>
                <w:color w:val="26323A"/>
                <w:sz w:val="15"/>
              </w:rPr>
              <w:t>900+ institutions publicly stated</w:t>
            </w:r>
          </w:p>
        </w:tc>
      </w:tr>
      <w:tr>
        <w:tc>
          <w:tcPr>
            <w:tcW w:type="dxa" w:w="1512"/>
            <w:tcMar>
              <w:top w:w="110" w:type="dxa"/>
              <w:start w:w="125" w:type="dxa"/>
              <w:bottom w:w="110" w:type="dxa"/>
              <w:end w:w="125" w:type="dxa"/>
            </w:tcMar>
            <w:vAlign w:val="center"/>
          </w:tcPr>
          <w:p>
            <w:pPr>
              <w:spacing w:after="0" w:line="247" w:lineRule="auto"/>
            </w:pPr>
            <w:r>
              <w:rPr>
                <w:color w:val="26323A"/>
                <w:sz w:val="15"/>
              </w:rPr>
              <w:t>STQRY</w:t>
            </w:r>
          </w:p>
        </w:tc>
        <w:tc>
          <w:tcPr>
            <w:tcW w:type="dxa" w:w="1655"/>
            <w:tcMar>
              <w:top w:w="110" w:type="dxa"/>
              <w:start w:w="125" w:type="dxa"/>
              <w:bottom w:w="110" w:type="dxa"/>
              <w:end w:w="125" w:type="dxa"/>
            </w:tcMar>
            <w:vAlign w:val="center"/>
          </w:tcPr>
          <w:p>
            <w:pPr>
              <w:spacing w:after="0" w:line="247" w:lineRule="auto"/>
            </w:pPr>
            <w:r>
              <w:rPr>
                <w:color w:val="26323A"/>
                <w:sz w:val="15"/>
              </w:rPr>
              <w:t>SaaS + apps + hardware</w:t>
            </w:r>
          </w:p>
        </w:tc>
        <w:tc>
          <w:tcPr>
            <w:tcW w:type="dxa" w:w="3384"/>
            <w:tcMar>
              <w:top w:w="110" w:type="dxa"/>
              <w:start w:w="125" w:type="dxa"/>
              <w:bottom w:w="110" w:type="dxa"/>
              <w:end w:w="125" w:type="dxa"/>
            </w:tcMar>
            <w:vAlign w:val="center"/>
          </w:tcPr>
          <w:p>
            <w:pPr>
              <w:spacing w:after="0" w:line="247" w:lineRule="auto"/>
            </w:pPr>
            <w:r>
              <w:rPr>
                <w:color w:val="26323A"/>
                <w:sz w:val="15"/>
              </w:rPr>
              <w:t>CMS; maps; GPS; beacons; QR; quizzes; badges; AR; analytics; payments</w:t>
            </w:r>
          </w:p>
        </w:tc>
        <w:tc>
          <w:tcPr>
            <w:tcW w:type="dxa" w:w="2376"/>
            <w:tcMar>
              <w:top w:w="110" w:type="dxa"/>
              <w:start w:w="125" w:type="dxa"/>
              <w:bottom w:w="110" w:type="dxa"/>
              <w:end w:w="125" w:type="dxa"/>
            </w:tcMar>
            <w:vAlign w:val="center"/>
          </w:tcPr>
          <w:p>
            <w:pPr>
              <w:spacing w:after="0" w:line="247" w:lineRule="auto"/>
            </w:pPr>
            <w:r>
              <w:rPr>
                <w:color w:val="26323A"/>
                <w:sz w:val="15"/>
              </w:rPr>
              <w:t>Approx. $1,285 / $2,495 / $4,995 per year for app tiers; enterprise POA</w:t>
            </w:r>
          </w:p>
        </w:tc>
        <w:tc>
          <w:tcPr>
            <w:tcW w:type="dxa" w:w="2664"/>
            <w:tcMar>
              <w:top w:w="110" w:type="dxa"/>
              <w:start w:w="125" w:type="dxa"/>
              <w:bottom w:w="110" w:type="dxa"/>
              <w:end w:w="125" w:type="dxa"/>
            </w:tcMar>
            <w:vAlign w:val="center"/>
          </w:tcPr>
          <w:p>
            <w:pPr>
              <w:spacing w:after="0" w:line="247" w:lineRule="auto"/>
            </w:pPr>
            <w:r>
              <w:rPr>
                <w:color w:val="26323A"/>
                <w:sz w:val="15"/>
              </w:rPr>
              <w:t>Vendor states 5,000+ published tours; thousands of organizations</w:t>
            </w:r>
          </w:p>
        </w:tc>
      </w:tr>
      <w:tr>
        <w:tc>
          <w:tcPr>
            <w:tcW w:type="dxa" w:w="1512"/>
            <w:tcMar>
              <w:top w:w="110" w:type="dxa"/>
              <w:start w:w="125" w:type="dxa"/>
              <w:bottom w:w="110" w:type="dxa"/>
              <w:end w:w="125" w:type="dxa"/>
            </w:tcMar>
            <w:vAlign w:val="center"/>
          </w:tcPr>
          <w:p>
            <w:pPr>
              <w:spacing w:after="0" w:line="247" w:lineRule="auto"/>
            </w:pPr>
            <w:r>
              <w:rPr>
                <w:color w:val="26323A"/>
                <w:sz w:val="15"/>
              </w:rPr>
              <w:t>Nubart</w:t>
            </w:r>
          </w:p>
        </w:tc>
        <w:tc>
          <w:tcPr>
            <w:tcW w:type="dxa" w:w="1655"/>
            <w:tcMar>
              <w:top w:w="110" w:type="dxa"/>
              <w:start w:w="125" w:type="dxa"/>
              <w:bottom w:w="110" w:type="dxa"/>
              <w:end w:w="125" w:type="dxa"/>
            </w:tcMar>
            <w:vAlign w:val="center"/>
          </w:tcPr>
          <w:p>
            <w:pPr>
              <w:spacing w:after="0" w:line="247" w:lineRule="auto"/>
            </w:pPr>
            <w:r>
              <w:rPr>
                <w:color w:val="26323A"/>
                <w:sz w:val="15"/>
              </w:rPr>
              <w:t>Browser/PWA BYOD</w:t>
            </w:r>
          </w:p>
        </w:tc>
        <w:tc>
          <w:tcPr>
            <w:tcW w:type="dxa" w:w="3384"/>
            <w:tcMar>
              <w:top w:w="110" w:type="dxa"/>
              <w:start w:w="125" w:type="dxa"/>
              <w:bottom w:w="110" w:type="dxa"/>
              <w:end w:w="125" w:type="dxa"/>
            </w:tcMar>
            <w:vAlign w:val="center"/>
          </w:tcPr>
          <w:p>
            <w:pPr>
              <w:spacing w:after="0" w:line="247" w:lineRule="auto"/>
            </w:pPr>
            <w:r>
              <w:rPr>
                <w:color w:val="26323A"/>
                <w:sz w:val="15"/>
              </w:rPr>
              <w:t>QR; offline; multilingual; analytics; monetizable access cards</w:t>
            </w:r>
          </w:p>
        </w:tc>
        <w:tc>
          <w:tcPr>
            <w:tcW w:type="dxa" w:w="2376"/>
            <w:tcMar>
              <w:top w:w="110" w:type="dxa"/>
              <w:start w:w="125" w:type="dxa"/>
              <w:bottom w:w="110" w:type="dxa"/>
              <w:end w:w="125" w:type="dxa"/>
            </w:tcMar>
            <w:vAlign w:val="center"/>
          </w:tcPr>
          <w:p>
            <w:pPr>
              <w:spacing w:after="0" w:line="247" w:lineRule="auto"/>
            </w:pPr>
            <w:r>
              <w:rPr>
                <w:color w:val="26323A"/>
                <w:sz w:val="15"/>
              </w:rPr>
              <w:t>Generic QR approx. €199-349/m; card model around €1/card with minimum order; custom revenue models</w:t>
            </w:r>
          </w:p>
        </w:tc>
        <w:tc>
          <w:tcPr>
            <w:tcW w:type="dxa" w:w="2664"/>
            <w:tcMar>
              <w:top w:w="110" w:type="dxa"/>
              <w:start w:w="125" w:type="dxa"/>
              <w:bottom w:w="110" w:type="dxa"/>
              <w:end w:w="125" w:type="dxa"/>
            </w:tcMar>
            <w:vAlign w:val="center"/>
          </w:tcPr>
          <w:p>
            <w:pPr>
              <w:spacing w:after="0" w:line="247" w:lineRule="auto"/>
            </w:pPr>
            <w:r>
              <w:rPr>
                <w:color w:val="26323A"/>
                <w:sz w:val="15"/>
              </w:rPr>
              <w:t>Vendor lists roughly 177 customers</w:t>
            </w:r>
          </w:p>
        </w:tc>
      </w:tr>
      <w:tr>
        <w:tc>
          <w:tcPr>
            <w:tcW w:type="dxa" w:w="1512"/>
            <w:tcMar>
              <w:top w:w="110" w:type="dxa"/>
              <w:start w:w="125" w:type="dxa"/>
              <w:bottom w:w="110" w:type="dxa"/>
              <w:end w:w="125" w:type="dxa"/>
            </w:tcMar>
            <w:vAlign w:val="center"/>
          </w:tcPr>
          <w:p>
            <w:pPr>
              <w:spacing w:after="0" w:line="247" w:lineRule="auto"/>
            </w:pPr>
            <w:r>
              <w:rPr>
                <w:color w:val="26323A"/>
                <w:sz w:val="15"/>
              </w:rPr>
              <w:t>Orpheo</w:t>
            </w:r>
          </w:p>
        </w:tc>
        <w:tc>
          <w:tcPr>
            <w:tcW w:type="dxa" w:w="1655"/>
            <w:tcMar>
              <w:top w:w="110" w:type="dxa"/>
              <w:start w:w="125" w:type="dxa"/>
              <w:bottom w:w="110" w:type="dxa"/>
              <w:end w:w="125" w:type="dxa"/>
            </w:tcMar>
            <w:vAlign w:val="center"/>
          </w:tcPr>
          <w:p>
            <w:pPr>
              <w:spacing w:after="0" w:line="247" w:lineRule="auto"/>
            </w:pPr>
            <w:r>
              <w:rPr>
                <w:color w:val="26323A"/>
                <w:sz w:val="15"/>
              </w:rPr>
              <w:t>Turnkey hardware + digital</w:t>
            </w:r>
          </w:p>
        </w:tc>
        <w:tc>
          <w:tcPr>
            <w:tcW w:type="dxa" w:w="3384"/>
            <w:tcMar>
              <w:top w:w="110" w:type="dxa"/>
              <w:start w:w="125" w:type="dxa"/>
              <w:bottom w:w="110" w:type="dxa"/>
              <w:end w:w="125" w:type="dxa"/>
            </w:tcMar>
            <w:vAlign w:val="center"/>
          </w:tcPr>
          <w:p>
            <w:pPr>
              <w:spacing w:after="0" w:line="247" w:lineRule="auto"/>
            </w:pPr>
            <w:r>
              <w:rPr>
                <w:color w:val="26323A"/>
                <w:sz w:val="15"/>
              </w:rPr>
              <w:t>Dedicated guides; PWA/native; GPS; triggering; maps; games; AR/VR; content services</w:t>
            </w:r>
          </w:p>
        </w:tc>
        <w:tc>
          <w:tcPr>
            <w:tcW w:type="dxa" w:w="2376"/>
            <w:tcMar>
              <w:top w:w="110" w:type="dxa"/>
              <w:start w:w="125" w:type="dxa"/>
              <w:bottom w:w="110" w:type="dxa"/>
              <w:end w:w="125" w:type="dxa"/>
            </w:tcMar>
            <w:vAlign w:val="center"/>
          </w:tcPr>
          <w:p>
            <w:pPr>
              <w:spacing w:after="0" w:line="247" w:lineRule="auto"/>
            </w:pPr>
            <w:r>
              <w:rPr>
                <w:color w:val="26323A"/>
                <w:sz w:val="15"/>
              </w:rPr>
              <w:t>Enterprise quotation / leasing / turnkey</w:t>
            </w:r>
          </w:p>
        </w:tc>
        <w:tc>
          <w:tcPr>
            <w:tcW w:type="dxa" w:w="2664"/>
            <w:tcMar>
              <w:top w:w="110" w:type="dxa"/>
              <w:start w:w="125" w:type="dxa"/>
              <w:bottom w:w="110" w:type="dxa"/>
              <w:end w:w="125" w:type="dxa"/>
            </w:tcMar>
            <w:vAlign w:val="center"/>
          </w:tcPr>
          <w:p>
            <w:pPr>
              <w:spacing w:after="0" w:line="247" w:lineRule="auto"/>
            </w:pPr>
            <w:r>
              <w:rPr>
                <w:color w:val="26323A"/>
                <w:sz w:val="15"/>
              </w:rPr>
              <w:t>Vendor claims 200k+ systems; partner materials cite 5,000+ sites in 40 countries</w:t>
            </w:r>
          </w:p>
        </w:tc>
      </w:tr>
      <w:tr>
        <w:tc>
          <w:tcPr>
            <w:tcW w:type="dxa" w:w="1512"/>
            <w:tcMar>
              <w:top w:w="110" w:type="dxa"/>
              <w:start w:w="125" w:type="dxa"/>
              <w:bottom w:w="110" w:type="dxa"/>
              <w:end w:w="125" w:type="dxa"/>
            </w:tcMar>
            <w:vAlign w:val="center"/>
          </w:tcPr>
          <w:p>
            <w:pPr>
              <w:spacing w:after="0" w:line="247" w:lineRule="auto"/>
            </w:pPr>
            <w:r>
              <w:rPr>
                <w:color w:val="26323A"/>
                <w:sz w:val="15"/>
              </w:rPr>
              <w:t>Guide-ID</w:t>
            </w:r>
          </w:p>
        </w:tc>
        <w:tc>
          <w:tcPr>
            <w:tcW w:type="dxa" w:w="1655"/>
            <w:tcMar>
              <w:top w:w="110" w:type="dxa"/>
              <w:start w:w="125" w:type="dxa"/>
              <w:bottom w:w="110" w:type="dxa"/>
              <w:end w:w="125" w:type="dxa"/>
            </w:tcMar>
            <w:vAlign w:val="center"/>
          </w:tcPr>
          <w:p>
            <w:pPr>
              <w:spacing w:after="0" w:line="247" w:lineRule="auto"/>
            </w:pPr>
            <w:r>
              <w:rPr>
                <w:color w:val="26323A"/>
                <w:sz w:val="15"/>
              </w:rPr>
              <w:t>Hardware-first + cloud</w:t>
            </w:r>
          </w:p>
        </w:tc>
        <w:tc>
          <w:tcPr>
            <w:tcW w:type="dxa" w:w="3384"/>
            <w:tcMar>
              <w:top w:w="110" w:type="dxa"/>
              <w:start w:w="125" w:type="dxa"/>
              <w:bottom w:w="110" w:type="dxa"/>
              <w:end w:w="125" w:type="dxa"/>
            </w:tcMar>
            <w:vAlign w:val="center"/>
          </w:tcPr>
          <w:p>
            <w:pPr>
              <w:spacing w:after="0" w:line="247" w:lineRule="auto"/>
            </w:pPr>
            <w:r>
              <w:rPr>
                <w:color w:val="26323A"/>
                <w:sz w:val="15"/>
              </w:rPr>
              <w:t>Podcatcher; Bluetooth/UWB; AV sync; analytics; cloud editor</w:t>
            </w:r>
          </w:p>
        </w:tc>
        <w:tc>
          <w:tcPr>
            <w:tcW w:type="dxa" w:w="2376"/>
            <w:tcMar>
              <w:top w:w="110" w:type="dxa"/>
              <w:start w:w="125" w:type="dxa"/>
              <w:bottom w:w="110" w:type="dxa"/>
              <w:end w:w="125" w:type="dxa"/>
            </w:tcMar>
            <w:vAlign w:val="center"/>
          </w:tcPr>
          <w:p>
            <w:pPr>
              <w:spacing w:after="0" w:line="247" w:lineRule="auto"/>
            </w:pPr>
            <w:r>
              <w:rPr>
                <w:color w:val="26323A"/>
                <w:sz w:val="15"/>
              </w:rPr>
              <w:t>Leasing / custom quotation</w:t>
            </w:r>
          </w:p>
        </w:tc>
        <w:tc>
          <w:tcPr>
            <w:tcW w:type="dxa" w:w="2664"/>
            <w:tcMar>
              <w:top w:w="110" w:type="dxa"/>
              <w:start w:w="125" w:type="dxa"/>
              <w:bottom w:w="110" w:type="dxa"/>
              <w:end w:w="125" w:type="dxa"/>
            </w:tcMar>
            <w:vAlign w:val="center"/>
          </w:tcPr>
          <w:p>
            <w:pPr>
              <w:spacing w:after="0" w:line="247" w:lineRule="auto"/>
            </w:pPr>
            <w:r>
              <w:rPr>
                <w:color w:val="26323A"/>
                <w:sz w:val="15"/>
              </w:rPr>
              <w:t>90+ locations, 24 countries, 5 continents</w:t>
            </w:r>
          </w:p>
        </w:tc>
      </w:tr>
      <w:tr>
        <w:tc>
          <w:tcPr>
            <w:tcW w:type="dxa" w:w="1512"/>
            <w:tcMar>
              <w:top w:w="110" w:type="dxa"/>
              <w:start w:w="125" w:type="dxa"/>
              <w:bottom w:w="110" w:type="dxa"/>
              <w:end w:w="125" w:type="dxa"/>
            </w:tcMar>
            <w:vAlign w:val="center"/>
          </w:tcPr>
          <w:p>
            <w:pPr>
              <w:spacing w:after="0" w:line="247" w:lineRule="auto"/>
            </w:pPr>
            <w:r>
              <w:rPr>
                <w:color w:val="26323A"/>
                <w:sz w:val="15"/>
              </w:rPr>
              <w:t>izi.TRAVEL</w:t>
            </w:r>
          </w:p>
        </w:tc>
        <w:tc>
          <w:tcPr>
            <w:tcW w:type="dxa" w:w="1655"/>
            <w:tcMar>
              <w:top w:w="110" w:type="dxa"/>
              <w:start w:w="125" w:type="dxa"/>
              <w:bottom w:w="110" w:type="dxa"/>
              <w:end w:w="125" w:type="dxa"/>
            </w:tcMar>
            <w:vAlign w:val="center"/>
          </w:tcPr>
          <w:p>
            <w:pPr>
              <w:spacing w:after="0" w:line="247" w:lineRule="auto"/>
            </w:pPr>
            <w:r>
              <w:rPr>
                <w:color w:val="26323A"/>
                <w:sz w:val="15"/>
              </w:rPr>
              <w:t>Shared global platform</w:t>
            </w:r>
          </w:p>
        </w:tc>
        <w:tc>
          <w:tcPr>
            <w:tcW w:type="dxa" w:w="3384"/>
            <w:tcMar>
              <w:top w:w="110" w:type="dxa"/>
              <w:start w:w="125" w:type="dxa"/>
              <w:bottom w:w="110" w:type="dxa"/>
              <w:end w:w="125" w:type="dxa"/>
            </w:tcMar>
            <w:vAlign w:val="center"/>
          </w:tcPr>
          <w:p>
            <w:pPr>
              <w:spacing w:after="0" w:line="247" w:lineRule="auto"/>
            </w:pPr>
            <w:r>
              <w:rPr>
                <w:color w:val="26323A"/>
                <w:sz w:val="15"/>
              </w:rPr>
              <w:t>Free CMS; indoor/outdoor tours; GPS; QR; numpad; quiz</w:t>
            </w:r>
          </w:p>
        </w:tc>
        <w:tc>
          <w:tcPr>
            <w:tcW w:type="dxa" w:w="2376"/>
            <w:tcMar>
              <w:top w:w="110" w:type="dxa"/>
              <w:start w:w="125" w:type="dxa"/>
              <w:bottom w:w="110" w:type="dxa"/>
              <w:end w:w="125" w:type="dxa"/>
            </w:tcMar>
            <w:vAlign w:val="center"/>
          </w:tcPr>
          <w:p>
            <w:pPr>
              <w:spacing w:after="0" w:line="247" w:lineRule="auto"/>
            </w:pPr>
            <w:r>
              <w:rPr>
                <w:color w:val="26323A"/>
                <w:sz w:val="15"/>
              </w:rPr>
              <w:t>Publishing free; paid content/revenue share; API usage fees above limits</w:t>
            </w:r>
          </w:p>
        </w:tc>
        <w:tc>
          <w:tcPr>
            <w:tcW w:type="dxa" w:w="2664"/>
            <w:tcMar>
              <w:top w:w="110" w:type="dxa"/>
              <w:start w:w="125" w:type="dxa"/>
              <w:bottom w:w="110" w:type="dxa"/>
              <w:end w:w="125" w:type="dxa"/>
            </w:tcMar>
            <w:vAlign w:val="center"/>
          </w:tcPr>
          <w:p>
            <w:pPr>
              <w:spacing w:after="0" w:line="247" w:lineRule="auto"/>
            </w:pPr>
            <w:r>
              <w:rPr>
                <w:color w:val="26323A"/>
                <w:sz w:val="15"/>
              </w:rPr>
              <w:t>Vendor describes thousands of museums; historical public app usage figures are large but older</w:t>
            </w:r>
          </w:p>
        </w:tc>
      </w:tr>
      <w:tr>
        <w:tc>
          <w:tcPr>
            <w:tcW w:type="dxa" w:w="1512"/>
            <w:tcMar>
              <w:top w:w="110" w:type="dxa"/>
              <w:start w:w="125" w:type="dxa"/>
              <w:bottom w:w="110" w:type="dxa"/>
              <w:end w:w="125" w:type="dxa"/>
            </w:tcMar>
            <w:vAlign w:val="center"/>
          </w:tcPr>
          <w:p>
            <w:pPr>
              <w:spacing w:after="0" w:line="247" w:lineRule="auto"/>
            </w:pPr>
            <w:r>
              <w:rPr>
                <w:color w:val="26323A"/>
                <w:sz w:val="15"/>
              </w:rPr>
              <w:t>Musa</w:t>
            </w:r>
          </w:p>
        </w:tc>
        <w:tc>
          <w:tcPr>
            <w:tcW w:type="dxa" w:w="1655"/>
            <w:tcMar>
              <w:top w:w="110" w:type="dxa"/>
              <w:start w:w="125" w:type="dxa"/>
              <w:bottom w:w="110" w:type="dxa"/>
              <w:end w:w="125" w:type="dxa"/>
            </w:tcMar>
            <w:vAlign w:val="center"/>
          </w:tcPr>
          <w:p>
            <w:pPr>
              <w:spacing w:after="0" w:line="247" w:lineRule="auto"/>
            </w:pPr>
            <w:r>
              <w:rPr>
                <w:color w:val="26323A"/>
                <w:sz w:val="15"/>
              </w:rPr>
              <w:t>AI-first PWA</w:t>
            </w:r>
          </w:p>
        </w:tc>
        <w:tc>
          <w:tcPr>
            <w:tcW w:type="dxa" w:w="3384"/>
            <w:tcMar>
              <w:top w:w="110" w:type="dxa"/>
              <w:start w:w="125" w:type="dxa"/>
              <w:bottom w:w="110" w:type="dxa"/>
              <w:end w:w="125" w:type="dxa"/>
            </w:tcMar>
            <w:vAlign w:val="center"/>
          </w:tcPr>
          <w:p>
            <w:pPr>
              <w:spacing w:after="0" w:line="247" w:lineRule="auto"/>
            </w:pPr>
            <w:r>
              <w:rPr>
                <w:color w:val="26323A"/>
                <w:sz w:val="15"/>
              </w:rPr>
              <w:t>Conversational AI; 40+ languages; AI narration; offline audio; analytics; payments</w:t>
            </w:r>
          </w:p>
        </w:tc>
        <w:tc>
          <w:tcPr>
            <w:tcW w:type="dxa" w:w="2376"/>
            <w:tcMar>
              <w:top w:w="110" w:type="dxa"/>
              <w:start w:w="125" w:type="dxa"/>
              <w:bottom w:w="110" w:type="dxa"/>
              <w:end w:w="125" w:type="dxa"/>
            </w:tcMar>
            <w:vAlign w:val="center"/>
          </w:tcPr>
          <w:p>
            <w:pPr>
              <w:spacing w:after="0" w:line="247" w:lineRule="auto"/>
            </w:pPr>
            <w:r>
              <w:rPr>
                <w:color w:val="26323A"/>
                <w:sz w:val="15"/>
              </w:rPr>
              <w:t>Revenue share; subscription from £500/m; prepaid from £1,000</w:t>
            </w:r>
          </w:p>
        </w:tc>
        <w:tc>
          <w:tcPr>
            <w:tcW w:type="dxa" w:w="2664"/>
            <w:tcMar>
              <w:top w:w="110" w:type="dxa"/>
              <w:start w:w="125" w:type="dxa"/>
              <w:bottom w:w="110" w:type="dxa"/>
              <w:end w:w="125" w:type="dxa"/>
            </w:tcMar>
            <w:vAlign w:val="center"/>
          </w:tcPr>
          <w:p>
            <w:pPr>
              <w:spacing w:after="0" w:line="247" w:lineRule="auto"/>
            </w:pPr>
            <w:r>
              <w:rPr>
                <w:color w:val="26323A"/>
                <w:sz w:val="15"/>
              </w:rPr>
              <w:t>Newer player; case studies rather than large aggregate installed base</w:t>
            </w:r>
          </w:p>
        </w:tc>
      </w:tr>
      <w:tr>
        <w:tc>
          <w:tcPr>
            <w:tcW w:type="dxa" w:w="1512"/>
            <w:tcMar>
              <w:top w:w="110" w:type="dxa"/>
              <w:start w:w="125" w:type="dxa"/>
              <w:bottom w:w="110" w:type="dxa"/>
              <w:end w:w="125" w:type="dxa"/>
            </w:tcMar>
            <w:vAlign w:val="center"/>
          </w:tcPr>
          <w:p>
            <w:pPr>
              <w:spacing w:after="0" w:line="247" w:lineRule="auto"/>
            </w:pPr>
            <w:r>
              <w:rPr>
                <w:color w:val="26323A"/>
                <w:sz w:val="15"/>
              </w:rPr>
              <w:t>Convo</w:t>
            </w:r>
          </w:p>
        </w:tc>
        <w:tc>
          <w:tcPr>
            <w:tcW w:type="dxa" w:w="1655"/>
            <w:tcMar>
              <w:top w:w="110" w:type="dxa"/>
              <w:start w:w="125" w:type="dxa"/>
              <w:bottom w:w="110" w:type="dxa"/>
              <w:end w:w="125" w:type="dxa"/>
            </w:tcMar>
            <w:vAlign w:val="center"/>
          </w:tcPr>
          <w:p>
            <w:pPr>
              <w:spacing w:after="0" w:line="247" w:lineRule="auto"/>
            </w:pPr>
            <w:r>
              <w:rPr>
                <w:color w:val="26323A"/>
                <w:sz w:val="15"/>
              </w:rPr>
              <w:t>AI conversational guide</w:t>
            </w:r>
          </w:p>
        </w:tc>
        <w:tc>
          <w:tcPr>
            <w:tcW w:type="dxa" w:w="3384"/>
            <w:tcMar>
              <w:top w:w="110" w:type="dxa"/>
              <w:start w:w="125" w:type="dxa"/>
              <w:bottom w:w="110" w:type="dxa"/>
              <w:end w:w="125" w:type="dxa"/>
            </w:tcMar>
            <w:vAlign w:val="center"/>
          </w:tcPr>
          <w:p>
            <w:pPr>
              <w:spacing w:after="0" w:line="247" w:lineRule="auto"/>
            </w:pPr>
            <w:r>
              <w:rPr>
                <w:color w:val="26323A"/>
                <w:sz w:val="15"/>
              </w:rPr>
              <w:t>Multilingual AI audio; visitor Q&amp;A; AI content pipeline</w:t>
            </w:r>
          </w:p>
        </w:tc>
        <w:tc>
          <w:tcPr>
            <w:tcW w:type="dxa" w:w="2376"/>
            <w:tcMar>
              <w:top w:w="110" w:type="dxa"/>
              <w:start w:w="125" w:type="dxa"/>
              <w:bottom w:w="110" w:type="dxa"/>
              <w:end w:w="125" w:type="dxa"/>
            </w:tcMar>
            <w:vAlign w:val="center"/>
          </w:tcPr>
          <w:p>
            <w:pPr>
              <w:spacing w:after="0" w:line="247" w:lineRule="auto"/>
            </w:pPr>
            <w:r>
              <w:rPr>
                <w:color w:val="26323A"/>
                <w:sz w:val="15"/>
              </w:rPr>
              <w:t>$600/m or $6,000/y Studio; enterprise POA</w:t>
            </w:r>
          </w:p>
        </w:tc>
        <w:tc>
          <w:tcPr>
            <w:tcW w:type="dxa" w:w="2664"/>
            <w:tcMar>
              <w:top w:w="110" w:type="dxa"/>
              <w:start w:w="125" w:type="dxa"/>
              <w:bottom w:w="110" w:type="dxa"/>
              <w:end w:w="125" w:type="dxa"/>
            </w:tcMar>
            <w:vAlign w:val="center"/>
          </w:tcPr>
          <w:p>
            <w:pPr>
              <w:spacing w:after="0" w:line="247" w:lineRule="auto"/>
            </w:pPr>
            <w:r>
              <w:rPr>
                <w:color w:val="26323A"/>
                <w:sz w:val="15"/>
              </w:rPr>
              <w:t>No reliable public aggregate client count</w:t>
            </w:r>
          </w:p>
        </w:tc>
      </w:tr>
      <w:tr>
        <w:tc>
          <w:tcPr>
            <w:tcW w:type="dxa" w:w="1512"/>
            <w:tcMar>
              <w:top w:w="110" w:type="dxa"/>
              <w:start w:w="125" w:type="dxa"/>
              <w:bottom w:w="110" w:type="dxa"/>
              <w:end w:w="125" w:type="dxa"/>
            </w:tcMar>
            <w:vAlign w:val="center"/>
          </w:tcPr>
          <w:p>
            <w:pPr>
              <w:spacing w:after="0" w:line="247" w:lineRule="auto"/>
            </w:pPr>
            <w:r>
              <w:rPr>
                <w:color w:val="26323A"/>
                <w:sz w:val="15"/>
              </w:rPr>
              <w:t>Museo.guide</w:t>
            </w:r>
          </w:p>
        </w:tc>
        <w:tc>
          <w:tcPr>
            <w:tcW w:type="dxa" w:w="1655"/>
            <w:tcMar>
              <w:top w:w="110" w:type="dxa"/>
              <w:start w:w="125" w:type="dxa"/>
              <w:bottom w:w="110" w:type="dxa"/>
              <w:end w:w="125" w:type="dxa"/>
            </w:tcMar>
            <w:vAlign w:val="center"/>
          </w:tcPr>
          <w:p>
            <w:pPr>
              <w:spacing w:after="0" w:line="247" w:lineRule="auto"/>
            </w:pPr>
            <w:r>
              <w:rPr>
                <w:color w:val="26323A"/>
                <w:sz w:val="15"/>
              </w:rPr>
              <w:t>Low-cost PWA SaaS</w:t>
            </w:r>
          </w:p>
        </w:tc>
        <w:tc>
          <w:tcPr>
            <w:tcW w:type="dxa" w:w="3384"/>
            <w:tcMar>
              <w:top w:w="110" w:type="dxa"/>
              <w:start w:w="125" w:type="dxa"/>
              <w:bottom w:w="110" w:type="dxa"/>
              <w:end w:w="125" w:type="dxa"/>
            </w:tcMar>
            <w:vAlign w:val="center"/>
          </w:tcPr>
          <w:p>
            <w:pPr>
              <w:spacing w:after="0" w:line="247" w:lineRule="auto"/>
            </w:pPr>
            <w:r>
              <w:rPr>
                <w:color w:val="26323A"/>
                <w:sz w:val="15"/>
              </w:rPr>
              <w:t>QR; offline; multilingual; analytics; TTS</w:t>
            </w:r>
          </w:p>
        </w:tc>
        <w:tc>
          <w:tcPr>
            <w:tcW w:type="dxa" w:w="2376"/>
            <w:tcMar>
              <w:top w:w="110" w:type="dxa"/>
              <w:start w:w="125" w:type="dxa"/>
              <w:bottom w:w="110" w:type="dxa"/>
              <w:end w:w="125" w:type="dxa"/>
            </w:tcMar>
            <w:vAlign w:val="center"/>
          </w:tcPr>
          <w:p>
            <w:pPr>
              <w:spacing w:after="0" w:line="247" w:lineRule="auto"/>
            </w:pPr>
            <w:r>
              <w:rPr>
                <w:color w:val="26323A"/>
                <w:sz w:val="15"/>
              </w:rPr>
              <w:t>Free; approx. €99/m Standard; €249/m Pro</w:t>
            </w:r>
          </w:p>
        </w:tc>
        <w:tc>
          <w:tcPr>
            <w:tcW w:type="dxa" w:w="2664"/>
            <w:tcMar>
              <w:top w:w="110" w:type="dxa"/>
              <w:start w:w="125" w:type="dxa"/>
              <w:bottom w:w="110" w:type="dxa"/>
              <w:end w:w="125" w:type="dxa"/>
            </w:tcMar>
            <w:vAlign w:val="center"/>
          </w:tcPr>
          <w:p>
            <w:pPr>
              <w:spacing w:after="0" w:line="247" w:lineRule="auto"/>
            </w:pPr>
            <w:r>
              <w:rPr>
                <w:color w:val="26323A"/>
                <w:sz w:val="15"/>
              </w:rPr>
              <w:t>No reliable public aggregate installation figure</w:t>
            </w:r>
          </w:p>
        </w:tc>
      </w:tr>
      <w:tr>
        <w:tc>
          <w:tcPr>
            <w:tcW w:type="dxa" w:w="1512"/>
            <w:tcMar>
              <w:top w:w="110" w:type="dxa"/>
              <w:start w:w="125" w:type="dxa"/>
              <w:bottom w:w="110" w:type="dxa"/>
              <w:end w:w="125" w:type="dxa"/>
            </w:tcMar>
            <w:vAlign w:val="center"/>
          </w:tcPr>
          <w:p>
            <w:pPr>
              <w:spacing w:after="0" w:line="247" w:lineRule="auto"/>
            </w:pPr>
            <w:r>
              <w:rPr>
                <w:color w:val="26323A"/>
                <w:sz w:val="15"/>
              </w:rPr>
              <w:t>Guidemate</w:t>
            </w:r>
          </w:p>
        </w:tc>
        <w:tc>
          <w:tcPr>
            <w:tcW w:type="dxa" w:w="1655"/>
            <w:tcMar>
              <w:top w:w="110" w:type="dxa"/>
              <w:start w:w="125" w:type="dxa"/>
              <w:bottom w:w="110" w:type="dxa"/>
              <w:end w:w="125" w:type="dxa"/>
            </w:tcMar>
            <w:vAlign w:val="center"/>
          </w:tcPr>
          <w:p>
            <w:pPr>
              <w:spacing w:after="0" w:line="247" w:lineRule="auto"/>
            </w:pPr>
            <w:r>
              <w:rPr>
                <w:color w:val="26323A"/>
                <w:sz w:val="15"/>
              </w:rPr>
              <w:t>Shared audio-walk platform</w:t>
            </w:r>
          </w:p>
        </w:tc>
        <w:tc>
          <w:tcPr>
            <w:tcW w:type="dxa" w:w="3384"/>
            <w:tcMar>
              <w:top w:w="110" w:type="dxa"/>
              <w:start w:w="125" w:type="dxa"/>
              <w:bottom w:w="110" w:type="dxa"/>
              <w:end w:w="125" w:type="dxa"/>
            </w:tcMar>
            <w:vAlign w:val="center"/>
          </w:tcPr>
          <w:p>
            <w:pPr>
              <w:spacing w:after="0" w:line="247" w:lineRule="auto"/>
            </w:pPr>
            <w:r>
              <w:rPr>
                <w:color w:val="26323A"/>
                <w:sz w:val="15"/>
              </w:rPr>
              <w:t>Location-based audio tours and marketplace distribution</w:t>
            </w:r>
          </w:p>
        </w:tc>
        <w:tc>
          <w:tcPr>
            <w:tcW w:type="dxa" w:w="2376"/>
            <w:tcMar>
              <w:top w:w="110" w:type="dxa"/>
              <w:start w:w="125" w:type="dxa"/>
              <w:bottom w:w="110" w:type="dxa"/>
              <w:end w:w="125" w:type="dxa"/>
            </w:tcMar>
            <w:vAlign w:val="center"/>
          </w:tcPr>
          <w:p>
            <w:pPr>
              <w:spacing w:after="0" w:line="247" w:lineRule="auto"/>
            </w:pPr>
            <w:r>
              <w:rPr>
                <w:color w:val="26323A"/>
                <w:sz w:val="15"/>
              </w:rPr>
              <w:t>Museum plans around €100/y; smaller plans lower</w:t>
            </w:r>
          </w:p>
        </w:tc>
        <w:tc>
          <w:tcPr>
            <w:tcW w:type="dxa" w:w="2664"/>
            <w:tcMar>
              <w:top w:w="110" w:type="dxa"/>
              <w:start w:w="125" w:type="dxa"/>
              <w:bottom w:w="110" w:type="dxa"/>
              <w:end w:w="125" w:type="dxa"/>
            </w:tcMar>
            <w:vAlign w:val="center"/>
          </w:tcPr>
          <w:p>
            <w:pPr>
              <w:spacing w:after="0" w:line="247" w:lineRule="auto"/>
            </w:pPr>
            <w:r>
              <w:rPr>
                <w:color w:val="26323A"/>
                <w:sz w:val="15"/>
              </w:rPr>
              <w:t>No reliable public aggregate installation figure</w:t>
            </w:r>
          </w:p>
        </w:tc>
      </w:tr>
    </w:tbl>
    <w:p>
      <w:pPr>
        <w:spacing w:after="40"/>
      </w:pPr>
    </w:p>
    <w:tbl>
      <w:tblPr>
        <w:tblW w:type="auto" w:w="0"/>
        <w:jc w:val="center"/>
        <w:tblLook w:firstColumn="1" w:firstRow="1" w:lastColumn="0" w:lastRow="0" w:noHBand="0" w:noVBand="1" w:val="04A0"/>
      </w:tblPr>
      <w:tblGrid>
        <w:gridCol w:w="10052"/>
      </w:tblGrid>
      <w:tr>
        <w:trPr>
          <w:cantSplit w:val="true"/>
        </w:trPr>
        <w:tc>
          <w:tcPr>
            <w:tcW w:type="dxa" w:w="10052"/>
            <w:shd w:fill="F5E9C8"/>
            <w:tcMar>
              <w:top w:w="170" w:type="dxa"/>
              <w:start w:w="200" w:type="dxa"/>
              <w:bottom w:w="170" w:type="dxa"/>
              <w:end w:w="200" w:type="dxa"/>
            </w:tcMar>
          </w:tcPr>
          <w:p>
            <w:pPr>
              <w:spacing w:after="80"/>
            </w:pPr>
            <w:r>
              <w:rPr>
                <w:b/>
                <w:color w:val="173A52"/>
                <w:sz w:val="21"/>
              </w:rPr>
              <w:t>Evidence caution</w:t>
            </w:r>
          </w:p>
          <w:p>
            <w:pPr>
              <w:spacing w:after="0" w:line="264" w:lineRule="auto"/>
            </w:pPr>
            <w:r>
              <w:rPr>
                <w:sz w:val="20"/>
              </w:rPr>
              <w:t>Reach figures are mostly vendor-reported and are not directly comparable. One company may count organizations, another locations, published tours, devices or annual visitors. Treat them as directional indicators of market maturity rather than audited market-share data.</w:t>
            </w:r>
          </w:p>
        </w:tc>
      </w:tr>
    </w:tbl>
    <w:p>
      <w:pPr>
        <w:spacing w:after="40"/>
      </w:pPr>
    </w:p>
    <w:p>
      <w:pPr>
        <w:pStyle w:val="Title"/>
      </w:pPr>
      <w:r>
        <w:t>5. Competitor profiles</w:t>
      </w:r>
    </w:p>
    <w:p>
      <w:pPr>
        <w:pStyle w:val="Heading1"/>
      </w:pPr>
      <w:r>
        <w:t>5.1 Smartify</w:t>
      </w:r>
    </w:p>
    <w:p>
      <w:r>
        <w:t>Smartify is the most useful software benchmark for MAG because it has moved well beyond the audio-guide category into a full digital visitor platform. It combines visitor apps, CMS, AI, maps, integrations, analytics, marketing and optional bespoke services.</w:t>
      </w:r>
    </w:p>
    <w:p>
      <w:pPr>
        <w:pStyle w:val="ListBullet"/>
        <w:spacing w:after="60"/>
      </w:pPr>
      <w:r>
        <w:rPr>
          <w:b/>
        </w:rPr>
        <w:t xml:space="preserve">Discovery modes: </w:t>
      </w:r>
      <w:r>
        <w:t>image recognition, number pad, search and QR.</w:t>
      </w:r>
    </w:p>
    <w:p>
      <w:pPr>
        <w:pStyle w:val="ListBullet"/>
        <w:spacing w:after="60"/>
      </w:pPr>
      <w:r>
        <w:rPr>
          <w:b/>
        </w:rPr>
        <w:t xml:space="preserve">Premium capabilities: </w:t>
      </w:r>
      <w:r>
        <w:t>AI-personalized tours, AI translation, text-to-speech, wayfinding, dynamic QR, AR/VR and integration services.</w:t>
      </w:r>
    </w:p>
    <w:p>
      <w:pPr>
        <w:pStyle w:val="ListBullet"/>
        <w:spacing w:after="60"/>
      </w:pPr>
      <w:r>
        <w:rPr>
          <w:b/>
        </w:rPr>
        <w:t xml:space="preserve">Commercial layer: </w:t>
      </w:r>
      <w:r>
        <w:t>ticketing, shop, CRM, memberships, donations and visitor marketing.</w:t>
      </w:r>
    </w:p>
    <w:p>
      <w:pPr>
        <w:pStyle w:val="ListBullet"/>
        <w:spacing w:after="60"/>
      </w:pPr>
      <w:r>
        <w:rPr>
          <w:b/>
        </w:rPr>
        <w:t xml:space="preserve">Price signal: </w:t>
      </w:r>
      <w:r>
        <w:t>the public Premium plan at £9,500/year establishes a credible five-figure annual benchmark before bespoke integration work.</w:t>
      </w:r>
    </w:p>
    <w:p>
      <w:pPr>
        <w:pStyle w:val="ListBullet"/>
        <w:spacing w:after="60"/>
      </w:pPr>
      <w:r>
        <w:rPr>
          <w:b/>
        </w:rPr>
        <w:t xml:space="preserve">MAG lesson: </w:t>
      </w:r>
      <w:r>
        <w:t>match Smartify on institutional seriousness, but differentiate through self-hosting, museum-owned deployment and deeper integration with existing museum data structures.</w:t>
      </w:r>
    </w:p>
    <w:p>
      <w:pPr>
        <w:pStyle w:val="Heading1"/>
      </w:pPr>
      <w:r>
        <w:t>5.2 Bloomberg Connects</w:t>
      </w:r>
    </w:p>
    <w:p>
      <w:r>
        <w:t>Bloomberg Connects is structurally different because the institution does not pay a software license. That makes price competition irrational. Its power comes from a single widely distributed app, offline use, accessibility, global cultural discovery and the credibility of philanthropic funding.</w:t>
      </w:r>
    </w:p>
    <w:p>
      <w:pPr>
        <w:pStyle w:val="ListBullet"/>
        <w:spacing w:after="60"/>
      </w:pPr>
      <w:r>
        <w:rPr>
          <w:b/>
        </w:rPr>
        <w:t xml:space="preserve">Strength: </w:t>
      </w:r>
      <w:r>
        <w:t>frictionless institutional economics - free software and support.</w:t>
      </w:r>
    </w:p>
    <w:p>
      <w:pPr>
        <w:pStyle w:val="ListBullet"/>
        <w:spacing w:after="60"/>
      </w:pPr>
      <w:r>
        <w:rPr>
          <w:b/>
        </w:rPr>
        <w:t xml:space="preserve">Strength: </w:t>
      </w:r>
      <w:r>
        <w:t>one app gives the visitor access to many institutions.</w:t>
      </w:r>
    </w:p>
    <w:p>
      <w:pPr>
        <w:pStyle w:val="ListBullet"/>
        <w:spacing w:after="60"/>
      </w:pPr>
      <w:r>
        <w:rPr>
          <w:b/>
        </w:rPr>
        <w:t xml:space="preserve">MAG opportunity: </w:t>
      </w:r>
      <w:r>
        <w:t>offer complete institutional ownership, custom UX, deep collection integration, self-hosting and bespoke workflows that a shared platform cannot prioritize for every museum.</w:t>
      </w:r>
    </w:p>
    <w:p>
      <w:pPr>
        <w:pStyle w:val="Heading1"/>
      </w:pPr>
      <w:r>
        <w:t>5.3 STQRY</w:t>
      </w:r>
    </w:p>
    <w:p>
      <w:r>
        <w:t>STQRY is a breadth benchmark. It combines apps, maps, GPS, beacons, QR, quizzes, badges, AR, 360 content, payments, access codes and analytics. It demonstrates the market value of a broad visitor-experience toolkit rather than a single linear tour.</w:t>
      </w:r>
    </w:p>
    <w:p>
      <w:pPr>
        <w:pStyle w:val="ListBullet"/>
        <w:spacing w:after="60"/>
      </w:pPr>
      <w:r>
        <w:rPr>
          <w:b/>
        </w:rPr>
        <w:t xml:space="preserve">Best lesson: </w:t>
      </w:r>
      <w:r>
        <w:t>geofencing/beacon architecture and structured gamification.</w:t>
      </w:r>
    </w:p>
    <w:p>
      <w:pPr>
        <w:pStyle w:val="ListBullet"/>
        <w:spacing w:after="60"/>
      </w:pPr>
      <w:r>
        <w:rPr>
          <w:b/>
        </w:rPr>
        <w:t xml:space="preserve">Operational lesson: </w:t>
      </w:r>
      <w:r>
        <w:t>multi-user platform management and support services are paid product value, not just overhead.</w:t>
      </w:r>
    </w:p>
    <w:p>
      <w:pPr>
        <w:pStyle w:val="ListBullet"/>
        <w:spacing w:after="60"/>
      </w:pPr>
      <w:r>
        <w:rPr>
          <w:b/>
        </w:rPr>
        <w:t xml:space="preserve">MAG response: </w:t>
      </w:r>
      <w:r>
        <w:t>build enterprise publishing workflow before chasing every experiential feature.</w:t>
      </w:r>
    </w:p>
    <w:p>
      <w:pPr>
        <w:pStyle w:val="Heading1"/>
      </w:pPr>
      <w:r>
        <w:t>5.4 Nubart</w:t>
      </w:r>
    </w:p>
    <w:p>
      <w:r>
        <w:t>Nubart is one of the most relevant BYOD comparisons because it is browser-first and focused on no-install visitor access. Its distinctive business innovation is monetizable, non-transferable QR access through physical cards or controlled entry models.</w:t>
      </w:r>
    </w:p>
    <w:p>
      <w:pPr>
        <w:pStyle w:val="ListBullet"/>
        <w:spacing w:after="60"/>
      </w:pPr>
      <w:r>
        <w:rPr>
          <w:b/>
        </w:rPr>
        <w:t xml:space="preserve">Best lesson: </w:t>
      </w:r>
      <w:r>
        <w:t>access control can be a product feature, not only a ticketing integration.</w:t>
      </w:r>
    </w:p>
    <w:p>
      <w:pPr>
        <w:pStyle w:val="ListBullet"/>
        <w:spacing w:after="60"/>
      </w:pPr>
      <w:r>
        <w:rPr>
          <w:b/>
        </w:rPr>
        <w:t xml:space="preserve">Best lesson: </w:t>
      </w:r>
      <w:r>
        <w:t>frictionless QR onboarding is critical to real-world adoption.</w:t>
      </w:r>
    </w:p>
    <w:p>
      <w:pPr>
        <w:pStyle w:val="ListBullet"/>
        <w:spacing w:after="60"/>
      </w:pPr>
      <w:r>
        <w:rPr>
          <w:b/>
        </w:rPr>
        <w:t xml:space="preserve">MAG opportunity: </w:t>
      </w:r>
      <w:r>
        <w:t>WordPress/WooCommerce can provide a strong first commerce layer while preserving museum ownership.</w:t>
      </w:r>
    </w:p>
    <w:p>
      <w:pPr>
        <w:pStyle w:val="Heading1"/>
      </w:pPr>
      <w:r>
        <w:t>5.5 Orpheo and Guide-ID</w:t>
      </w:r>
    </w:p>
    <w:p>
      <w:r>
        <w:t>These companies prove that dedicated devices and automatic triggering remain relevant, especially for museums with older audiences, unreliable connectivity, group visits or strong operational requirements. They also set the bar for enterprise support, hardware lifecycle, AV synchronization and onsite services.</w:t>
      </w:r>
    </w:p>
    <w:p>
      <w:pPr>
        <w:pStyle w:val="ListBullet"/>
        <w:spacing w:after="60"/>
      </w:pPr>
      <w:r>
        <w:rPr>
          <w:b/>
        </w:rPr>
        <w:t xml:space="preserve">Do not copy: </w:t>
      </w:r>
      <w:r>
        <w:t>MAG should not become a hardware manufacturer in the near term.</w:t>
      </w:r>
    </w:p>
    <w:p>
      <w:pPr>
        <w:pStyle w:val="ListBullet"/>
        <w:spacing w:after="60"/>
      </w:pPr>
      <w:r>
        <w:rPr>
          <w:b/>
        </w:rPr>
        <w:t xml:space="preserve">Do support: </w:t>
      </w:r>
      <w:r>
        <w:t>future partner APIs or hardware bridges for beacons, dedicated players or group systems.</w:t>
      </w:r>
    </w:p>
    <w:p>
      <w:pPr>
        <w:pStyle w:val="ListBullet"/>
        <w:spacing w:after="60"/>
      </w:pPr>
      <w:r>
        <w:rPr>
          <w:b/>
        </w:rPr>
        <w:t xml:space="preserve">Enterprise lesson: </w:t>
      </w:r>
      <w:r>
        <w:t>large institutions buy continuity, service, SLAs and operational confidence, not only features.</w:t>
      </w:r>
    </w:p>
    <w:p>
      <w:pPr>
        <w:pStyle w:val="Heading1"/>
      </w:pPr>
      <w:r>
        <w:t>5.6 izi.TRAVEL</w:t>
      </w:r>
    </w:p>
    <w:p>
      <w:r>
        <w:t>izi.TRAVEL validates the opposite end of the spectrum: a large shared platform with a low-friction publishing model. Its free CMS and broad distribution make it attractive for institutions that prioritize reach and simplicity over ownership and bespoke integration.</w:t>
      </w:r>
    </w:p>
    <w:p>
      <w:pPr>
        <w:pStyle w:val="ListBullet"/>
        <w:spacing w:after="60"/>
      </w:pPr>
      <w:r>
        <w:rPr>
          <w:b/>
        </w:rPr>
        <w:t xml:space="preserve">Best lesson: </w:t>
      </w:r>
      <w:r>
        <w:t>authoring must stay simple even when the platform becomes technically sophisticated.</w:t>
      </w:r>
    </w:p>
    <w:p>
      <w:pPr>
        <w:pStyle w:val="ListBullet"/>
        <w:spacing w:after="60"/>
      </w:pPr>
      <w:r>
        <w:rPr>
          <w:b/>
        </w:rPr>
        <w:t xml:space="preserve">MAG differentiation: </w:t>
      </w:r>
      <w:r>
        <w:t>institution-owned visitor experience and structured integration with the museum’s own data.</w:t>
      </w:r>
    </w:p>
    <w:p>
      <w:pPr>
        <w:pStyle w:val="Heading1"/>
      </w:pPr>
      <w:r>
        <w:t>5.7 Musa and Convo</w:t>
      </w:r>
    </w:p>
    <w:p>
      <w:r>
        <w:t>Musa and Convo are important because they signal where visitor expectations are moving: from passive playback toward questions, personalization and multilingual conversational interaction. They are not yet as broadly deployed as mature platforms, but they should influence MAG’s medium-term roadmap.</w:t>
      </w:r>
    </w:p>
    <w:p>
      <w:pPr>
        <w:pStyle w:val="ListBullet"/>
        <w:spacing w:after="60"/>
      </w:pPr>
      <w:r>
        <w:rPr>
          <w:b/>
        </w:rPr>
        <w:t xml:space="preserve">Musa strength: </w:t>
      </w:r>
      <w:r>
        <w:t>visitor Q&amp;A grounded in museum content, 40+ languages, AI narration and PWA delivery.</w:t>
      </w:r>
    </w:p>
    <w:p>
      <w:pPr>
        <w:pStyle w:val="ListBullet"/>
        <w:spacing w:after="60"/>
      </w:pPr>
      <w:r>
        <w:rPr>
          <w:b/>
        </w:rPr>
        <w:t xml:space="preserve">Convo strength: </w:t>
      </w:r>
      <w:r>
        <w:t>simple commercial packaging around conversational multilingual guides.</w:t>
      </w:r>
    </w:p>
    <w:p>
      <w:pPr>
        <w:pStyle w:val="ListBullet"/>
        <w:spacing w:after="60"/>
      </w:pPr>
      <w:r>
        <w:rPr>
          <w:b/>
        </w:rPr>
        <w:t xml:space="preserve">MAG recommendation: </w:t>
      </w:r>
      <w:r>
        <w:t>first build curator-side AI production tools, then a museum-grounded visitor Q&amp;A layer using approved knowledge only.</w:t>
      </w:r>
    </w:p>
    <w:p>
      <w:pPr>
        <w:pStyle w:val="Title"/>
      </w:pPr>
      <w:r>
        <w:t>6. Competitive feature matrix</w:t>
      </w:r>
    </w:p>
    <w:tbl>
      <w:tblPr>
        <w:tblStyle w:val="TableGrid"/>
        <w:tblW w:type="auto" w:w="0"/>
        <w:jc w:val="center"/>
        <w:tblLook w:firstColumn="1" w:firstRow="1" w:lastColumn="0" w:lastRow="0" w:noHBand="0" w:noVBand="1" w:val="04A0"/>
      </w:tblPr>
      <w:tblGrid>
        <w:gridCol w:w="1256"/>
        <w:gridCol w:w="1256"/>
        <w:gridCol w:w="1256"/>
        <w:gridCol w:w="1256"/>
        <w:gridCol w:w="1256"/>
        <w:gridCol w:w="1256"/>
        <w:gridCol w:w="1256"/>
        <w:gridCol w:w="1256"/>
      </w:tblGrid>
      <w:tr>
        <w:trPr>
          <w:tblHeader w:val="true"/>
        </w:trPr>
        <w:tc>
          <w:tcPr>
            <w:tcW w:type="dxa" w:w="2880"/>
            <w:shd w:fill="173A52"/>
            <w:tcMar>
              <w:top w:w="110" w:type="dxa"/>
              <w:start w:w="125" w:type="dxa"/>
              <w:bottom w:w="110" w:type="dxa"/>
              <w:end w:w="125" w:type="dxa"/>
            </w:tcMar>
            <w:vAlign w:val="center"/>
          </w:tcPr>
          <w:p>
            <w:r>
              <w:rPr>
                <w:b/>
                <w:color w:val="FFFFFF"/>
                <w:sz w:val="14"/>
              </w:rPr>
              <w:t>Capability</w:t>
            </w:r>
          </w:p>
        </w:tc>
        <w:tc>
          <w:tcPr>
            <w:tcW w:type="dxa" w:w="1152"/>
            <w:shd w:fill="173A52"/>
            <w:tcMar>
              <w:top w:w="110" w:type="dxa"/>
              <w:start w:w="125" w:type="dxa"/>
              <w:bottom w:w="110" w:type="dxa"/>
              <w:end w:w="125" w:type="dxa"/>
            </w:tcMar>
            <w:vAlign w:val="center"/>
          </w:tcPr>
          <w:p>
            <w:r>
              <w:rPr>
                <w:b/>
                <w:color w:val="FFFFFF"/>
                <w:sz w:val="14"/>
              </w:rPr>
              <w:t>MAG 1.12.11</w:t>
            </w:r>
          </w:p>
        </w:tc>
        <w:tc>
          <w:tcPr>
            <w:tcW w:type="dxa" w:w="1007"/>
            <w:shd w:fill="173A52"/>
            <w:tcMar>
              <w:top w:w="110" w:type="dxa"/>
              <w:start w:w="125" w:type="dxa"/>
              <w:bottom w:w="110" w:type="dxa"/>
              <w:end w:w="125" w:type="dxa"/>
            </w:tcMar>
            <w:vAlign w:val="center"/>
          </w:tcPr>
          <w:p>
            <w:r>
              <w:rPr>
                <w:b/>
                <w:color w:val="FFFFFF"/>
                <w:sz w:val="14"/>
              </w:rPr>
              <w:t>Smartify</w:t>
            </w:r>
          </w:p>
        </w:tc>
        <w:tc>
          <w:tcPr>
            <w:tcW w:type="dxa" w:w="1007"/>
            <w:shd w:fill="173A52"/>
            <w:tcMar>
              <w:top w:w="110" w:type="dxa"/>
              <w:start w:w="125" w:type="dxa"/>
              <w:bottom w:w="110" w:type="dxa"/>
              <w:end w:w="125" w:type="dxa"/>
            </w:tcMar>
            <w:vAlign w:val="center"/>
          </w:tcPr>
          <w:p>
            <w:r>
              <w:rPr>
                <w:b/>
                <w:color w:val="FFFFFF"/>
                <w:sz w:val="14"/>
              </w:rPr>
              <w:t>STQRY</w:t>
            </w:r>
          </w:p>
        </w:tc>
        <w:tc>
          <w:tcPr>
            <w:tcW w:type="dxa" w:w="1080"/>
            <w:shd w:fill="173A52"/>
            <w:tcMar>
              <w:top w:w="110" w:type="dxa"/>
              <w:start w:w="125" w:type="dxa"/>
              <w:bottom w:w="110" w:type="dxa"/>
              <w:end w:w="125" w:type="dxa"/>
            </w:tcMar>
            <w:vAlign w:val="center"/>
          </w:tcPr>
          <w:p>
            <w:r>
              <w:rPr>
                <w:b/>
                <w:color w:val="FFFFFF"/>
                <w:sz w:val="14"/>
              </w:rPr>
              <w:t>Bloomberg</w:t>
            </w:r>
          </w:p>
        </w:tc>
        <w:tc>
          <w:tcPr>
            <w:tcW w:type="dxa" w:w="1007"/>
            <w:shd w:fill="173A52"/>
            <w:tcMar>
              <w:top w:w="110" w:type="dxa"/>
              <w:start w:w="125" w:type="dxa"/>
              <w:bottom w:w="110" w:type="dxa"/>
              <w:end w:w="125" w:type="dxa"/>
            </w:tcMar>
            <w:vAlign w:val="center"/>
          </w:tcPr>
          <w:p>
            <w:r>
              <w:rPr>
                <w:b/>
                <w:color w:val="FFFFFF"/>
                <w:sz w:val="14"/>
              </w:rPr>
              <w:t>Nubart</w:t>
            </w:r>
          </w:p>
        </w:tc>
        <w:tc>
          <w:tcPr>
            <w:tcW w:type="dxa" w:w="936"/>
            <w:shd w:fill="173A52"/>
            <w:tcMar>
              <w:top w:w="110" w:type="dxa"/>
              <w:start w:w="125" w:type="dxa"/>
              <w:bottom w:w="110" w:type="dxa"/>
              <w:end w:w="125" w:type="dxa"/>
            </w:tcMar>
            <w:vAlign w:val="center"/>
          </w:tcPr>
          <w:p>
            <w:r>
              <w:rPr>
                <w:b/>
                <w:color w:val="FFFFFF"/>
                <w:sz w:val="14"/>
              </w:rPr>
              <w:t>Musa</w:t>
            </w:r>
          </w:p>
        </w:tc>
        <w:tc>
          <w:tcPr>
            <w:tcW w:type="dxa" w:w="1368"/>
            <w:shd w:fill="173A52"/>
            <w:tcMar>
              <w:top w:w="110" w:type="dxa"/>
              <w:start w:w="125" w:type="dxa"/>
              <w:bottom w:w="110" w:type="dxa"/>
              <w:end w:w="125" w:type="dxa"/>
            </w:tcMar>
            <w:vAlign w:val="center"/>
          </w:tcPr>
          <w:p>
            <w:r>
              <w:rPr>
                <w:b/>
                <w:color w:val="FFFFFF"/>
                <w:sz w:val="14"/>
              </w:rPr>
              <w:t>Guide-ID / Orpheo</w:t>
            </w:r>
          </w:p>
        </w:tc>
      </w:tr>
      <w:tr>
        <w:tc>
          <w:tcPr>
            <w:tcW w:type="dxa" w:w="2880"/>
            <w:tcMar>
              <w:top w:w="110" w:type="dxa"/>
              <w:start w:w="125" w:type="dxa"/>
              <w:bottom w:w="110" w:type="dxa"/>
              <w:end w:w="125" w:type="dxa"/>
            </w:tcMar>
            <w:vAlign w:val="center"/>
          </w:tcPr>
          <w:p>
            <w:pPr>
              <w:spacing w:after="0" w:line="247" w:lineRule="auto"/>
            </w:pPr>
            <w:r>
              <w:rPr>
                <w:color w:val="26323A"/>
                <w:sz w:val="14"/>
              </w:rPr>
              <w:t>Browser/PWA access</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Native-first</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Partial</w:t>
            </w:r>
          </w:p>
        </w:tc>
      </w:tr>
      <w:tr>
        <w:tc>
          <w:tcPr>
            <w:tcW w:type="dxa" w:w="2880"/>
            <w:tcMar>
              <w:top w:w="110" w:type="dxa"/>
              <w:start w:w="125" w:type="dxa"/>
              <w:bottom w:w="110" w:type="dxa"/>
              <w:end w:w="125" w:type="dxa"/>
            </w:tcMar>
            <w:vAlign w:val="center"/>
          </w:tcPr>
          <w:p>
            <w:pPr>
              <w:spacing w:after="0" w:line="247" w:lineRule="auto"/>
            </w:pPr>
            <w:r>
              <w:rPr>
                <w:color w:val="26323A"/>
                <w:sz w:val="14"/>
              </w:rPr>
              <w:t>Native app</w:t>
            </w:r>
          </w:p>
        </w:tc>
        <w:tc>
          <w:tcPr>
            <w:tcW w:type="dxa" w:w="1152"/>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936"/>
            <w:tcMar>
              <w:top w:w="110" w:type="dxa"/>
              <w:start w:w="125" w:type="dxa"/>
              <w:bottom w:w="110" w:type="dxa"/>
              <w:end w:w="125" w:type="dxa"/>
            </w:tcMar>
            <w:vAlign w:val="center"/>
          </w:tcPr>
          <w:p>
            <w:pPr>
              <w:spacing w:after="0" w:line="247" w:lineRule="auto"/>
            </w:pPr>
            <w:r>
              <w:rPr>
                <w:color w:val="26323A"/>
                <w:sz w:val="14"/>
              </w:rPr>
              <w:t>No</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Museum-owned / self-hosted</w:t>
            </w:r>
          </w:p>
        </w:tc>
        <w:tc>
          <w:tcPr>
            <w:tcW w:type="dxa" w:w="1152"/>
            <w:tcMar>
              <w:top w:w="110" w:type="dxa"/>
              <w:start w:w="125" w:type="dxa"/>
              <w:bottom w:w="110" w:type="dxa"/>
              <w:end w:w="125" w:type="dxa"/>
            </w:tcMar>
            <w:vAlign w:val="center"/>
          </w:tcPr>
          <w:p>
            <w:pPr>
              <w:spacing w:after="0" w:line="247" w:lineRule="auto"/>
            </w:pPr>
            <w:r>
              <w:rPr>
                <w:color w:val="26323A"/>
                <w:sz w:val="14"/>
              </w:rPr>
              <w:t>Yes - strong</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Partial</w:t>
            </w:r>
          </w:p>
        </w:tc>
        <w:tc>
          <w:tcPr>
            <w:tcW w:type="dxa" w:w="1368"/>
            <w:tcMar>
              <w:top w:w="110" w:type="dxa"/>
              <w:start w:w="125" w:type="dxa"/>
              <w:bottom w:w="110" w:type="dxa"/>
              <w:end w:w="125" w:type="dxa"/>
            </w:tcMar>
            <w:vAlign w:val="center"/>
          </w:tcPr>
          <w:p>
            <w:pPr>
              <w:spacing w:after="0" w:line="247" w:lineRule="auto"/>
            </w:pPr>
            <w:r>
              <w:rPr>
                <w:color w:val="26323A"/>
                <w:sz w:val="14"/>
              </w:rPr>
              <w:t>Partial</w:t>
            </w:r>
          </w:p>
        </w:tc>
      </w:tr>
      <w:tr>
        <w:tc>
          <w:tcPr>
            <w:tcW w:type="dxa" w:w="2880"/>
            <w:tcMar>
              <w:top w:w="110" w:type="dxa"/>
              <w:start w:w="125" w:type="dxa"/>
              <w:bottom w:w="110" w:type="dxa"/>
              <w:end w:w="125" w:type="dxa"/>
            </w:tcMar>
            <w:vAlign w:val="center"/>
          </w:tcPr>
          <w:p>
            <w:pPr>
              <w:spacing w:after="0" w:line="247" w:lineRule="auto"/>
            </w:pPr>
            <w:r>
              <w:rPr>
                <w:color w:val="26323A"/>
                <w:sz w:val="14"/>
              </w:rPr>
              <w:t>Existing collection integration</w:t>
            </w:r>
          </w:p>
        </w:tc>
        <w:tc>
          <w:tcPr>
            <w:tcW w:type="dxa" w:w="1152"/>
            <w:tcMar>
              <w:top w:w="110" w:type="dxa"/>
              <w:start w:w="125" w:type="dxa"/>
              <w:bottom w:w="110" w:type="dxa"/>
              <w:end w:w="125" w:type="dxa"/>
            </w:tcMar>
            <w:vAlign w:val="center"/>
          </w:tcPr>
          <w:p>
            <w:pPr>
              <w:spacing w:after="0" w:line="247" w:lineRule="auto"/>
            </w:pPr>
            <w:r>
              <w:rPr>
                <w:color w:val="26323A"/>
                <w:sz w:val="14"/>
              </w:rPr>
              <w:t>Yes - strong</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Partial</w:t>
            </w:r>
          </w:p>
        </w:tc>
        <w:tc>
          <w:tcPr>
            <w:tcW w:type="dxa" w:w="1368"/>
            <w:tcMar>
              <w:top w:w="110" w:type="dxa"/>
              <w:start w:w="125" w:type="dxa"/>
              <w:bottom w:w="110" w:type="dxa"/>
              <w:end w:w="125" w:type="dxa"/>
            </w:tcMar>
            <w:vAlign w:val="center"/>
          </w:tcPr>
          <w:p>
            <w:pPr>
              <w:spacing w:after="0" w:line="247" w:lineRule="auto"/>
            </w:pPr>
            <w:r>
              <w:rPr>
                <w:color w:val="26323A"/>
                <w:sz w:val="14"/>
              </w:rPr>
              <w:t>Partial</w:t>
            </w:r>
          </w:p>
        </w:tc>
      </w:tr>
      <w:tr>
        <w:tc>
          <w:tcPr>
            <w:tcW w:type="dxa" w:w="2880"/>
            <w:tcMar>
              <w:top w:w="110" w:type="dxa"/>
              <w:start w:w="125" w:type="dxa"/>
              <w:bottom w:w="110" w:type="dxa"/>
              <w:end w:w="125" w:type="dxa"/>
            </w:tcMar>
            <w:vAlign w:val="center"/>
          </w:tcPr>
          <w:p>
            <w:pPr>
              <w:spacing w:after="0" w:line="247" w:lineRule="auto"/>
            </w:pPr>
            <w:r>
              <w:rPr>
                <w:color w:val="26323A"/>
                <w:sz w:val="14"/>
              </w:rPr>
              <w:t>QR</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NFC</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936"/>
            <w:tcMar>
              <w:top w:w="110" w:type="dxa"/>
              <w:start w:w="125" w:type="dxa"/>
              <w:bottom w:w="110" w:type="dxa"/>
              <w:end w:w="125" w:type="dxa"/>
            </w:tcMar>
            <w:vAlign w:val="center"/>
          </w:tcPr>
          <w:p>
            <w:pPr>
              <w:spacing w:after="0" w:line="247" w:lineRule="auto"/>
            </w:pPr>
            <w:r>
              <w:rPr>
                <w:color w:val="26323A"/>
                <w:sz w:val="14"/>
              </w:rPr>
              <w:t>No</w:t>
            </w:r>
          </w:p>
        </w:tc>
        <w:tc>
          <w:tcPr>
            <w:tcW w:type="dxa" w:w="1368"/>
            <w:tcMar>
              <w:top w:w="110" w:type="dxa"/>
              <w:start w:w="125" w:type="dxa"/>
              <w:bottom w:w="110" w:type="dxa"/>
              <w:end w:w="125" w:type="dxa"/>
            </w:tcMar>
            <w:vAlign w:val="center"/>
          </w:tcPr>
          <w:p>
            <w:pPr>
              <w:spacing w:after="0" w:line="247" w:lineRule="auto"/>
            </w:pPr>
            <w:r>
              <w:rPr>
                <w:color w:val="26323A"/>
                <w:sz w:val="14"/>
              </w:rPr>
              <w:t>Partial</w:t>
            </w:r>
          </w:p>
        </w:tc>
      </w:tr>
      <w:tr>
        <w:tc>
          <w:tcPr>
            <w:tcW w:type="dxa" w:w="2880"/>
            <w:tcMar>
              <w:top w:w="110" w:type="dxa"/>
              <w:start w:w="125" w:type="dxa"/>
              <w:bottom w:w="110" w:type="dxa"/>
              <w:end w:w="125" w:type="dxa"/>
            </w:tcMar>
            <w:vAlign w:val="center"/>
          </w:tcPr>
          <w:p>
            <w:pPr>
              <w:spacing w:after="0" w:line="247" w:lineRule="auto"/>
            </w:pPr>
            <w:r>
              <w:rPr>
                <w:color w:val="26323A"/>
                <w:sz w:val="14"/>
              </w:rPr>
              <w:t>Manual station number</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Partial</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Curated tours</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Space audio</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Indoor SVG/custom maps</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Multi-floor selector</w:t>
            </w:r>
          </w:p>
        </w:tc>
        <w:tc>
          <w:tcPr>
            <w:tcW w:type="dxa" w:w="1152"/>
            <w:tcMar>
              <w:top w:w="110" w:type="dxa"/>
              <w:start w:w="125" w:type="dxa"/>
              <w:bottom w:w="110" w:type="dxa"/>
              <w:end w:w="125" w:type="dxa"/>
            </w:tcMar>
            <w:vAlign w:val="center"/>
          </w:tcPr>
          <w:p>
            <w:pPr>
              <w:spacing w:after="0" w:line="247" w:lineRule="auto"/>
            </w:pPr>
            <w:r>
              <w:rPr>
                <w:color w:val="26323A"/>
                <w:sz w:val="14"/>
              </w:rPr>
              <w:t>Planned</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Outdoor GPS map</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Partial</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Geofencing/proximity</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Strong</w:t>
            </w:r>
          </w:p>
        </w:tc>
      </w:tr>
      <w:tr>
        <w:tc>
          <w:tcPr>
            <w:tcW w:type="dxa" w:w="2880"/>
            <w:tcMar>
              <w:top w:w="110" w:type="dxa"/>
              <w:start w:w="125" w:type="dxa"/>
              <w:bottom w:w="110" w:type="dxa"/>
              <w:end w:w="125" w:type="dxa"/>
            </w:tcMar>
            <w:vAlign w:val="center"/>
          </w:tcPr>
          <w:p>
            <w:pPr>
              <w:spacing w:after="0" w:line="247" w:lineRule="auto"/>
            </w:pPr>
            <w:r>
              <w:rPr>
                <w:color w:val="26323A"/>
                <w:sz w:val="14"/>
              </w:rPr>
              <w:t>Indoor automatic triggering</w:t>
            </w:r>
          </w:p>
        </w:tc>
        <w:tc>
          <w:tcPr>
            <w:tcW w:type="dxa" w:w="1152"/>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936"/>
            <w:tcMar>
              <w:top w:w="110" w:type="dxa"/>
              <w:start w:w="125" w:type="dxa"/>
              <w:bottom w:w="110" w:type="dxa"/>
              <w:end w:w="125" w:type="dxa"/>
            </w:tcMar>
            <w:vAlign w:val="center"/>
          </w:tcPr>
          <w:p>
            <w:pPr>
              <w:spacing w:after="0" w:line="247" w:lineRule="auto"/>
            </w:pPr>
            <w:r>
              <w:rPr>
                <w:color w:val="26323A"/>
                <w:sz w:val="14"/>
              </w:rPr>
              <w:t>No</w:t>
            </w:r>
          </w:p>
        </w:tc>
        <w:tc>
          <w:tcPr>
            <w:tcW w:type="dxa" w:w="1368"/>
            <w:tcMar>
              <w:top w:w="110" w:type="dxa"/>
              <w:start w:w="125" w:type="dxa"/>
              <w:bottom w:w="110" w:type="dxa"/>
              <w:end w:w="125" w:type="dxa"/>
            </w:tcMar>
            <w:vAlign w:val="center"/>
          </w:tcPr>
          <w:p>
            <w:pPr>
              <w:spacing w:after="0" w:line="247" w:lineRule="auto"/>
            </w:pPr>
            <w:r>
              <w:rPr>
                <w:color w:val="26323A"/>
                <w:sz w:val="14"/>
              </w:rPr>
              <w:t>Strong</w:t>
            </w:r>
          </w:p>
        </w:tc>
      </w:tr>
      <w:tr>
        <w:tc>
          <w:tcPr>
            <w:tcW w:type="dxa" w:w="2880"/>
            <w:tcMar>
              <w:top w:w="110" w:type="dxa"/>
              <w:start w:w="125" w:type="dxa"/>
              <w:bottom w:w="110" w:type="dxa"/>
              <w:end w:w="125" w:type="dxa"/>
            </w:tcMar>
            <w:vAlign w:val="center"/>
          </w:tcPr>
          <w:p>
            <w:pPr>
              <w:spacing w:after="0" w:line="247" w:lineRule="auto"/>
            </w:pPr>
            <w:r>
              <w:rPr>
                <w:color w:val="26323A"/>
                <w:sz w:val="14"/>
              </w:rPr>
              <w:t>Offline/PWA download</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Accessibility</w:t>
            </w:r>
          </w:p>
        </w:tc>
        <w:tc>
          <w:tcPr>
            <w:tcW w:type="dxa" w:w="1152"/>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80"/>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Strong</w:t>
            </w:r>
          </w:p>
        </w:tc>
      </w:tr>
      <w:tr>
        <w:tc>
          <w:tcPr>
            <w:tcW w:type="dxa" w:w="2880"/>
            <w:tcMar>
              <w:top w:w="110" w:type="dxa"/>
              <w:start w:w="125" w:type="dxa"/>
              <w:bottom w:w="110" w:type="dxa"/>
              <w:end w:w="125" w:type="dxa"/>
            </w:tcMar>
            <w:vAlign w:val="center"/>
          </w:tcPr>
          <w:p>
            <w:pPr>
              <w:spacing w:after="0" w:line="247" w:lineRule="auto"/>
            </w:pPr>
            <w:r>
              <w:rPr>
                <w:color w:val="26323A"/>
                <w:sz w:val="14"/>
              </w:rPr>
              <w:t>AI translation/TTS</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Strong</w:t>
            </w:r>
          </w:p>
        </w:tc>
        <w:tc>
          <w:tcPr>
            <w:tcW w:type="dxa" w:w="1368"/>
            <w:tcMar>
              <w:top w:w="110" w:type="dxa"/>
              <w:start w:w="125" w:type="dxa"/>
              <w:bottom w:w="110" w:type="dxa"/>
              <w:end w:w="125" w:type="dxa"/>
            </w:tcMar>
            <w:vAlign w:val="center"/>
          </w:tcPr>
          <w:p>
            <w:pPr>
              <w:spacing w:after="0" w:line="247" w:lineRule="auto"/>
            </w:pPr>
            <w:r>
              <w:rPr>
                <w:color w:val="26323A"/>
                <w:sz w:val="14"/>
              </w:rPr>
              <w:t>Partial/Strong</w:t>
            </w:r>
          </w:p>
        </w:tc>
      </w:tr>
      <w:tr>
        <w:tc>
          <w:tcPr>
            <w:tcW w:type="dxa" w:w="2880"/>
            <w:tcMar>
              <w:top w:w="110" w:type="dxa"/>
              <w:start w:w="125" w:type="dxa"/>
              <w:bottom w:w="110" w:type="dxa"/>
              <w:end w:w="125" w:type="dxa"/>
            </w:tcMar>
            <w:vAlign w:val="center"/>
          </w:tcPr>
          <w:p>
            <w:pPr>
              <w:spacing w:after="0" w:line="247" w:lineRule="auto"/>
            </w:pPr>
            <w:r>
              <w:rPr>
                <w:color w:val="26323A"/>
                <w:sz w:val="14"/>
              </w:rPr>
              <w:t>Visitor AI Q&amp;A</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936"/>
            <w:tcMar>
              <w:top w:w="110" w:type="dxa"/>
              <w:start w:w="125" w:type="dxa"/>
              <w:bottom w:w="110" w:type="dxa"/>
              <w:end w:w="125" w:type="dxa"/>
            </w:tcMar>
            <w:vAlign w:val="center"/>
          </w:tcPr>
          <w:p>
            <w:pPr>
              <w:spacing w:after="0" w:line="247" w:lineRule="auto"/>
            </w:pPr>
            <w:r>
              <w:rPr>
                <w:color w:val="26323A"/>
                <w:sz w:val="14"/>
              </w:rPr>
              <w:t>Strong</w:t>
            </w:r>
          </w:p>
        </w:tc>
        <w:tc>
          <w:tcPr>
            <w:tcW w:type="dxa" w:w="1368"/>
            <w:tcMar>
              <w:top w:w="110" w:type="dxa"/>
              <w:start w:w="125" w:type="dxa"/>
              <w:bottom w:w="110" w:type="dxa"/>
              <w:end w:w="125" w:type="dxa"/>
            </w:tcMar>
            <w:vAlign w:val="center"/>
          </w:tcPr>
          <w:p>
            <w:pPr>
              <w:spacing w:after="0" w:line="247" w:lineRule="auto"/>
            </w:pPr>
            <w:r>
              <w:rPr>
                <w:color w:val="26323A"/>
                <w:sz w:val="14"/>
              </w:rPr>
              <w:t>No</w:t>
            </w:r>
          </w:p>
        </w:tc>
      </w:tr>
      <w:tr>
        <w:tc>
          <w:tcPr>
            <w:tcW w:type="dxa" w:w="2880"/>
            <w:tcMar>
              <w:top w:w="110" w:type="dxa"/>
              <w:start w:w="125" w:type="dxa"/>
              <w:bottom w:w="110" w:type="dxa"/>
              <w:end w:w="125" w:type="dxa"/>
            </w:tcMar>
            <w:vAlign w:val="center"/>
          </w:tcPr>
          <w:p>
            <w:pPr>
              <w:spacing w:after="0" w:line="247" w:lineRule="auto"/>
            </w:pPr>
            <w:r>
              <w:rPr>
                <w:color w:val="26323A"/>
                <w:sz w:val="14"/>
              </w:rPr>
              <w:t>AI personalized tours</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No</w:t>
            </w:r>
          </w:p>
        </w:tc>
      </w:tr>
      <w:tr>
        <w:tc>
          <w:tcPr>
            <w:tcW w:type="dxa" w:w="2880"/>
            <w:tcMar>
              <w:top w:w="110" w:type="dxa"/>
              <w:start w:w="125" w:type="dxa"/>
              <w:bottom w:w="110" w:type="dxa"/>
              <w:end w:w="125" w:type="dxa"/>
            </w:tcMar>
            <w:vAlign w:val="center"/>
          </w:tcPr>
          <w:p>
            <w:pPr>
              <w:spacing w:after="0" w:line="247" w:lineRule="auto"/>
            </w:pPr>
            <w:r>
              <w:rPr>
                <w:color w:val="26323A"/>
                <w:sz w:val="14"/>
              </w:rPr>
              <w:t>Image recognition</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936"/>
            <w:tcMar>
              <w:top w:w="110" w:type="dxa"/>
              <w:start w:w="125" w:type="dxa"/>
              <w:bottom w:w="110" w:type="dxa"/>
              <w:end w:w="125" w:type="dxa"/>
            </w:tcMar>
            <w:vAlign w:val="center"/>
          </w:tcPr>
          <w:p>
            <w:pPr>
              <w:spacing w:after="0" w:line="247" w:lineRule="auto"/>
            </w:pPr>
            <w:r>
              <w:rPr>
                <w:color w:val="26323A"/>
                <w:sz w:val="14"/>
              </w:rPr>
              <w:t>No</w:t>
            </w:r>
          </w:p>
        </w:tc>
        <w:tc>
          <w:tcPr>
            <w:tcW w:type="dxa" w:w="1368"/>
            <w:tcMar>
              <w:top w:w="110" w:type="dxa"/>
              <w:start w:w="125" w:type="dxa"/>
              <w:bottom w:w="110" w:type="dxa"/>
              <w:end w:w="125" w:type="dxa"/>
            </w:tcMar>
            <w:vAlign w:val="center"/>
          </w:tcPr>
          <w:p>
            <w:pPr>
              <w:spacing w:after="0" w:line="247" w:lineRule="auto"/>
            </w:pPr>
            <w:r>
              <w:rPr>
                <w:color w:val="26323A"/>
                <w:sz w:val="14"/>
              </w:rPr>
              <w:t>No</w:t>
            </w:r>
          </w:p>
        </w:tc>
      </w:tr>
      <w:tr>
        <w:tc>
          <w:tcPr>
            <w:tcW w:type="dxa" w:w="2880"/>
            <w:tcMar>
              <w:top w:w="110" w:type="dxa"/>
              <w:start w:w="125" w:type="dxa"/>
              <w:bottom w:w="110" w:type="dxa"/>
              <w:end w:w="125" w:type="dxa"/>
            </w:tcMar>
            <w:vAlign w:val="center"/>
          </w:tcPr>
          <w:p>
            <w:pPr>
              <w:spacing w:after="0" w:line="247" w:lineRule="auto"/>
            </w:pPr>
            <w:r>
              <w:rPr>
                <w:color w:val="26323A"/>
                <w:sz w:val="14"/>
              </w:rPr>
              <w:t>Quiz/gamification</w:t>
            </w:r>
          </w:p>
        </w:tc>
        <w:tc>
          <w:tcPr>
            <w:tcW w:type="dxa" w:w="1152"/>
            <w:tcMar>
              <w:top w:w="110" w:type="dxa"/>
              <w:start w:w="125" w:type="dxa"/>
              <w:bottom w:w="110" w:type="dxa"/>
              <w:end w:w="125" w:type="dxa"/>
            </w:tcMar>
            <w:vAlign w:val="center"/>
          </w:tcPr>
          <w:p>
            <w:pPr>
              <w:spacing w:after="0" w:line="247" w:lineRule="auto"/>
            </w:pPr>
            <w:r>
              <w:rPr>
                <w:color w:val="26323A"/>
                <w:sz w:val="14"/>
              </w:rPr>
              <w:t>Basic kids model</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80"/>
            <w:tcMar>
              <w:top w:w="110" w:type="dxa"/>
              <w:start w:w="125" w:type="dxa"/>
              <w:bottom w:w="110" w:type="dxa"/>
              <w:end w:w="125" w:type="dxa"/>
            </w:tcMar>
            <w:vAlign w:val="center"/>
          </w:tcPr>
          <w:p>
            <w:pPr>
              <w:spacing w:after="0" w:line="247" w:lineRule="auto"/>
            </w:pPr>
            <w:r>
              <w:rPr>
                <w:color w:val="26323A"/>
                <w:sz w:val="14"/>
              </w:rPr>
              <w:t>Partial</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Partial</w:t>
            </w:r>
          </w:p>
        </w:tc>
        <w:tc>
          <w:tcPr>
            <w:tcW w:type="dxa" w:w="1368"/>
            <w:tcMar>
              <w:top w:w="110" w:type="dxa"/>
              <w:start w:w="125" w:type="dxa"/>
              <w:bottom w:w="110" w:type="dxa"/>
              <w:end w:w="125" w:type="dxa"/>
            </w:tcMar>
            <w:vAlign w:val="center"/>
          </w:tcPr>
          <w:p>
            <w:pPr>
              <w:spacing w:after="0" w:line="247" w:lineRule="auto"/>
            </w:pPr>
            <w:r>
              <w:rPr>
                <w:color w:val="26323A"/>
                <w:sz w:val="14"/>
              </w:rPr>
              <w:t>Partial</w:t>
            </w:r>
          </w:p>
        </w:tc>
      </w:tr>
      <w:tr>
        <w:tc>
          <w:tcPr>
            <w:tcW w:type="dxa" w:w="2880"/>
            <w:tcMar>
              <w:top w:w="110" w:type="dxa"/>
              <w:start w:w="125" w:type="dxa"/>
              <w:bottom w:w="110" w:type="dxa"/>
              <w:end w:w="125" w:type="dxa"/>
            </w:tcMar>
            <w:vAlign w:val="center"/>
          </w:tcPr>
          <w:p>
            <w:pPr>
              <w:spacing w:after="0" w:line="247" w:lineRule="auto"/>
            </w:pPr>
            <w:r>
              <w:rPr>
                <w:color w:val="26323A"/>
                <w:sz w:val="14"/>
              </w:rPr>
              <w:t>Analytics</w:t>
            </w:r>
          </w:p>
        </w:tc>
        <w:tc>
          <w:tcPr>
            <w:tcW w:type="dxa" w:w="1152"/>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80"/>
            <w:tcMar>
              <w:top w:w="110" w:type="dxa"/>
              <w:start w:w="125" w:type="dxa"/>
              <w:bottom w:w="110" w:type="dxa"/>
              <w:end w:w="125" w:type="dxa"/>
            </w:tcMar>
            <w:vAlign w:val="center"/>
          </w:tcPr>
          <w:p>
            <w:pPr>
              <w:spacing w:after="0" w:line="247" w:lineRule="auto"/>
            </w:pPr>
            <w:r>
              <w:rPr>
                <w:color w:val="26323A"/>
                <w:sz w:val="14"/>
              </w:rPr>
              <w:t>Partial</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Strong</w:t>
            </w:r>
          </w:p>
        </w:tc>
        <w:tc>
          <w:tcPr>
            <w:tcW w:type="dxa" w:w="1368"/>
            <w:tcMar>
              <w:top w:w="110" w:type="dxa"/>
              <w:start w:w="125" w:type="dxa"/>
              <w:bottom w:w="110" w:type="dxa"/>
              <w:end w:w="125" w:type="dxa"/>
            </w:tcMar>
            <w:vAlign w:val="center"/>
          </w:tcPr>
          <w:p>
            <w:pPr>
              <w:spacing w:after="0" w:line="247" w:lineRule="auto"/>
            </w:pPr>
            <w:r>
              <w:rPr>
                <w:color w:val="26323A"/>
                <w:sz w:val="14"/>
              </w:rPr>
              <w:t>Strong</w:t>
            </w:r>
          </w:p>
        </w:tc>
      </w:tr>
      <w:tr>
        <w:tc>
          <w:tcPr>
            <w:tcW w:type="dxa" w:w="2880"/>
            <w:tcMar>
              <w:top w:w="110" w:type="dxa"/>
              <w:start w:w="125" w:type="dxa"/>
              <w:bottom w:w="110" w:type="dxa"/>
              <w:end w:w="125" w:type="dxa"/>
            </w:tcMar>
            <w:vAlign w:val="center"/>
          </w:tcPr>
          <w:p>
            <w:pPr>
              <w:spacing w:after="0" w:line="247" w:lineRule="auto"/>
            </w:pPr>
            <w:r>
              <w:rPr>
                <w:color w:val="26323A"/>
                <w:sz w:val="14"/>
              </w:rPr>
              <w:t>Editorial readiness/QA</w:t>
            </w:r>
          </w:p>
        </w:tc>
        <w:tc>
          <w:tcPr>
            <w:tcW w:type="dxa" w:w="1152"/>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Dynamic QR</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No</w:t>
            </w:r>
          </w:p>
        </w:tc>
      </w:tr>
      <w:tr>
        <w:tc>
          <w:tcPr>
            <w:tcW w:type="dxa" w:w="2880"/>
            <w:tcMar>
              <w:top w:w="110" w:type="dxa"/>
              <w:start w:w="125" w:type="dxa"/>
              <w:bottom w:w="110" w:type="dxa"/>
              <w:end w:w="125" w:type="dxa"/>
            </w:tcMar>
            <w:vAlign w:val="center"/>
          </w:tcPr>
          <w:p>
            <w:pPr>
              <w:spacing w:after="0" w:line="247" w:lineRule="auto"/>
            </w:pPr>
            <w:r>
              <w:rPr>
                <w:color w:val="26323A"/>
                <w:sz w:val="14"/>
              </w:rPr>
              <w:t>Payments / paid guide</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936"/>
            <w:tcMar>
              <w:top w:w="110" w:type="dxa"/>
              <w:start w:w="125" w:type="dxa"/>
              <w:bottom w:w="110" w:type="dxa"/>
              <w:end w:w="125" w:type="dxa"/>
            </w:tcMar>
            <w:vAlign w:val="center"/>
          </w:tcPr>
          <w:p>
            <w:pPr>
              <w:spacing w:after="0" w:line="247" w:lineRule="auto"/>
            </w:pPr>
            <w:r>
              <w:rPr>
                <w:color w:val="26323A"/>
                <w:sz w:val="14"/>
              </w:rPr>
              <w:t>Strong</w:t>
            </w:r>
          </w:p>
        </w:tc>
        <w:tc>
          <w:tcPr>
            <w:tcW w:type="dxa" w:w="1368"/>
            <w:tcMar>
              <w:top w:w="110" w:type="dxa"/>
              <w:start w:w="125" w:type="dxa"/>
              <w:bottom w:w="110" w:type="dxa"/>
              <w:end w:w="125" w:type="dxa"/>
            </w:tcMar>
            <w:vAlign w:val="center"/>
          </w:tcPr>
          <w:p>
            <w:pPr>
              <w:spacing w:after="0" w:line="247" w:lineRule="auto"/>
            </w:pPr>
            <w:r>
              <w:rPr>
                <w:color w:val="26323A"/>
                <w:sz w:val="14"/>
              </w:rPr>
              <w:t>Partial</w:t>
            </w:r>
          </w:p>
        </w:tc>
      </w:tr>
      <w:tr>
        <w:tc>
          <w:tcPr>
            <w:tcW w:type="dxa" w:w="2880"/>
            <w:tcMar>
              <w:top w:w="110" w:type="dxa"/>
              <w:start w:w="125" w:type="dxa"/>
              <w:bottom w:w="110" w:type="dxa"/>
              <w:end w:w="125" w:type="dxa"/>
            </w:tcMar>
            <w:vAlign w:val="center"/>
          </w:tcPr>
          <w:p>
            <w:pPr>
              <w:spacing w:after="0" w:line="247" w:lineRule="auto"/>
            </w:pPr>
            <w:r>
              <w:rPr>
                <w:color w:val="26323A"/>
                <w:sz w:val="14"/>
              </w:rPr>
              <w:t>Ticketing/CRM/shop</w:t>
            </w:r>
          </w:p>
        </w:tc>
        <w:tc>
          <w:tcPr>
            <w:tcW w:type="dxa" w:w="1152"/>
            <w:tcMar>
              <w:top w:w="110" w:type="dxa"/>
              <w:start w:w="125" w:type="dxa"/>
              <w:bottom w:w="110" w:type="dxa"/>
              <w:end w:w="125" w:type="dxa"/>
            </w:tcMar>
            <w:vAlign w:val="center"/>
          </w:tcPr>
          <w:p>
            <w:pPr>
              <w:spacing w:after="0" w:line="247" w:lineRule="auto"/>
            </w:pPr>
            <w:r>
              <w:rPr>
                <w:color w:val="26323A"/>
                <w:sz w:val="14"/>
              </w:rPr>
              <w:t>Gap</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Partial</w:t>
            </w:r>
          </w:p>
        </w:tc>
        <w:tc>
          <w:tcPr>
            <w:tcW w:type="dxa" w:w="1368"/>
            <w:tcMar>
              <w:top w:w="110" w:type="dxa"/>
              <w:start w:w="125" w:type="dxa"/>
              <w:bottom w:w="110" w:type="dxa"/>
              <w:end w:w="125" w:type="dxa"/>
            </w:tcMar>
            <w:vAlign w:val="center"/>
          </w:tcPr>
          <w:p>
            <w:pPr>
              <w:spacing w:after="0" w:line="247" w:lineRule="auto"/>
            </w:pPr>
            <w:r>
              <w:rPr>
                <w:color w:val="26323A"/>
                <w:sz w:val="14"/>
              </w:rPr>
              <w:t>Partial</w:t>
            </w:r>
          </w:p>
        </w:tc>
      </w:tr>
      <w:tr>
        <w:tc>
          <w:tcPr>
            <w:tcW w:type="dxa" w:w="2880"/>
            <w:tcMar>
              <w:top w:w="110" w:type="dxa"/>
              <w:start w:w="125" w:type="dxa"/>
              <w:bottom w:w="110" w:type="dxa"/>
              <w:end w:w="125" w:type="dxa"/>
            </w:tcMar>
            <w:vAlign w:val="center"/>
          </w:tcPr>
          <w:p>
            <w:pPr>
              <w:spacing w:after="0" w:line="247" w:lineRule="auto"/>
            </w:pPr>
            <w:r>
              <w:rPr>
                <w:color w:val="26323A"/>
                <w:sz w:val="14"/>
              </w:rPr>
              <w:t>Content import/export</w:t>
            </w:r>
          </w:p>
        </w:tc>
        <w:tc>
          <w:tcPr>
            <w:tcW w:type="dxa" w:w="1152"/>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Vendor controlled</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936"/>
            <w:tcMar>
              <w:top w:w="110" w:type="dxa"/>
              <w:start w:w="125" w:type="dxa"/>
              <w:bottom w:w="110" w:type="dxa"/>
              <w:end w:w="125" w:type="dxa"/>
            </w:tcMar>
            <w:vAlign w:val="center"/>
          </w:tcPr>
          <w:p>
            <w:pPr>
              <w:spacing w:after="0" w:line="247" w:lineRule="auto"/>
            </w:pPr>
            <w:r>
              <w:rPr>
                <w:color w:val="26323A"/>
                <w:sz w:val="14"/>
              </w:rPr>
              <w:t>Yes</w:t>
            </w:r>
          </w:p>
        </w:tc>
        <w:tc>
          <w:tcPr>
            <w:tcW w:type="dxa" w:w="1368"/>
            <w:tcMar>
              <w:top w:w="110" w:type="dxa"/>
              <w:start w:w="125" w:type="dxa"/>
              <w:bottom w:w="110" w:type="dxa"/>
              <w:end w:w="125" w:type="dxa"/>
            </w:tcMar>
            <w:vAlign w:val="center"/>
          </w:tcPr>
          <w:p>
            <w:pPr>
              <w:spacing w:after="0" w:line="247" w:lineRule="auto"/>
            </w:pPr>
            <w:r>
              <w:rPr>
                <w:color w:val="26323A"/>
                <w:sz w:val="14"/>
              </w:rPr>
              <w:t>Yes</w:t>
            </w:r>
          </w:p>
        </w:tc>
      </w:tr>
      <w:tr>
        <w:tc>
          <w:tcPr>
            <w:tcW w:type="dxa" w:w="2880"/>
            <w:tcMar>
              <w:top w:w="110" w:type="dxa"/>
              <w:start w:w="125" w:type="dxa"/>
              <w:bottom w:w="110" w:type="dxa"/>
              <w:end w:w="125" w:type="dxa"/>
            </w:tcMar>
            <w:vAlign w:val="center"/>
          </w:tcPr>
          <w:p>
            <w:pPr>
              <w:spacing w:after="0" w:line="247" w:lineRule="auto"/>
            </w:pPr>
            <w:r>
              <w:rPr>
                <w:color w:val="26323A"/>
                <w:sz w:val="14"/>
              </w:rPr>
              <w:t>Enterprise workflow roles</w:t>
            </w:r>
          </w:p>
        </w:tc>
        <w:tc>
          <w:tcPr>
            <w:tcW w:type="dxa" w:w="1152"/>
            <w:tcMar>
              <w:top w:w="110" w:type="dxa"/>
              <w:start w:w="125" w:type="dxa"/>
              <w:bottom w:w="110" w:type="dxa"/>
              <w:end w:w="125" w:type="dxa"/>
            </w:tcMar>
            <w:vAlign w:val="center"/>
          </w:tcPr>
          <w:p>
            <w:pPr>
              <w:spacing w:after="0" w:line="247" w:lineRule="auto"/>
            </w:pPr>
            <w:r>
              <w:rPr>
                <w:color w:val="26323A"/>
                <w:sz w:val="14"/>
              </w:rPr>
              <w:t>Basic WP roles</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07"/>
            <w:tcMar>
              <w:top w:w="110" w:type="dxa"/>
              <w:start w:w="125" w:type="dxa"/>
              <w:bottom w:w="110" w:type="dxa"/>
              <w:end w:w="125" w:type="dxa"/>
            </w:tcMar>
            <w:vAlign w:val="center"/>
          </w:tcPr>
          <w:p>
            <w:pPr>
              <w:spacing w:after="0" w:line="247" w:lineRule="auto"/>
            </w:pPr>
            <w:r>
              <w:rPr>
                <w:color w:val="26323A"/>
                <w:sz w:val="14"/>
              </w:rPr>
              <w:t>Strong</w:t>
            </w:r>
          </w:p>
        </w:tc>
        <w:tc>
          <w:tcPr>
            <w:tcW w:type="dxa" w:w="1080"/>
            <w:tcMar>
              <w:top w:w="110" w:type="dxa"/>
              <w:start w:w="125" w:type="dxa"/>
              <w:bottom w:w="110" w:type="dxa"/>
              <w:end w:w="125" w:type="dxa"/>
            </w:tcMar>
            <w:vAlign w:val="center"/>
          </w:tcPr>
          <w:p>
            <w:pPr>
              <w:spacing w:after="0" w:line="247" w:lineRule="auto"/>
            </w:pPr>
            <w:r>
              <w:rPr>
                <w:color w:val="26323A"/>
                <w:sz w:val="14"/>
              </w:rPr>
              <w:t>Vendor managed</w:t>
            </w:r>
          </w:p>
        </w:tc>
        <w:tc>
          <w:tcPr>
            <w:tcW w:type="dxa" w:w="1007"/>
            <w:tcMar>
              <w:top w:w="110" w:type="dxa"/>
              <w:start w:w="125" w:type="dxa"/>
              <w:bottom w:w="110" w:type="dxa"/>
              <w:end w:w="125" w:type="dxa"/>
            </w:tcMar>
            <w:vAlign w:val="center"/>
          </w:tcPr>
          <w:p>
            <w:pPr>
              <w:spacing w:after="0" w:line="247" w:lineRule="auto"/>
            </w:pPr>
            <w:r>
              <w:rPr>
                <w:color w:val="26323A"/>
                <w:sz w:val="14"/>
              </w:rPr>
              <w:t>Partial</w:t>
            </w:r>
          </w:p>
        </w:tc>
        <w:tc>
          <w:tcPr>
            <w:tcW w:type="dxa" w:w="936"/>
            <w:tcMar>
              <w:top w:w="110" w:type="dxa"/>
              <w:start w:w="125" w:type="dxa"/>
              <w:bottom w:w="110" w:type="dxa"/>
              <w:end w:w="125" w:type="dxa"/>
            </w:tcMar>
            <w:vAlign w:val="center"/>
          </w:tcPr>
          <w:p>
            <w:pPr>
              <w:spacing w:after="0" w:line="247" w:lineRule="auto"/>
            </w:pPr>
            <w:r>
              <w:rPr>
                <w:color w:val="26323A"/>
                <w:sz w:val="14"/>
              </w:rPr>
              <w:t>Partial</w:t>
            </w:r>
          </w:p>
        </w:tc>
        <w:tc>
          <w:tcPr>
            <w:tcW w:type="dxa" w:w="1368"/>
            <w:tcMar>
              <w:top w:w="110" w:type="dxa"/>
              <w:start w:w="125" w:type="dxa"/>
              <w:bottom w:w="110" w:type="dxa"/>
              <w:end w:w="125" w:type="dxa"/>
            </w:tcMar>
            <w:vAlign w:val="center"/>
          </w:tcPr>
          <w:p>
            <w:pPr>
              <w:spacing w:after="0" w:line="247" w:lineRule="auto"/>
            </w:pPr>
            <w:r>
              <w:rPr>
                <w:color w:val="26323A"/>
                <w:sz w:val="14"/>
              </w:rPr>
              <w:t>Strong</w:t>
            </w:r>
          </w:p>
        </w:tc>
      </w:tr>
      <w:tr>
        <w:tc>
          <w:tcPr>
            <w:tcW w:type="dxa" w:w="2880"/>
            <w:tcMar>
              <w:top w:w="110" w:type="dxa"/>
              <w:start w:w="125" w:type="dxa"/>
              <w:bottom w:w="110" w:type="dxa"/>
              <w:end w:w="125" w:type="dxa"/>
            </w:tcMar>
            <w:vAlign w:val="center"/>
          </w:tcPr>
          <w:p>
            <w:pPr>
              <w:spacing w:after="0" w:line="247" w:lineRule="auto"/>
            </w:pPr>
            <w:r>
              <w:rPr>
                <w:color w:val="26323A"/>
                <w:sz w:val="14"/>
              </w:rPr>
              <w:t>Hardware fleet</w:t>
            </w:r>
          </w:p>
        </w:tc>
        <w:tc>
          <w:tcPr>
            <w:tcW w:type="dxa" w:w="1152"/>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Partner/bespoke</w:t>
            </w:r>
          </w:p>
        </w:tc>
        <w:tc>
          <w:tcPr>
            <w:tcW w:type="dxa" w:w="1007"/>
            <w:tcMar>
              <w:top w:w="110" w:type="dxa"/>
              <w:start w:w="125" w:type="dxa"/>
              <w:bottom w:w="110" w:type="dxa"/>
              <w:end w:w="125" w:type="dxa"/>
            </w:tcMar>
            <w:vAlign w:val="center"/>
          </w:tcPr>
          <w:p>
            <w:pPr>
              <w:spacing w:after="0" w:line="247" w:lineRule="auto"/>
            </w:pPr>
            <w:r>
              <w:rPr>
                <w:color w:val="26323A"/>
                <w:sz w:val="14"/>
              </w:rPr>
              <w:t>Yes</w:t>
            </w:r>
          </w:p>
        </w:tc>
        <w:tc>
          <w:tcPr>
            <w:tcW w:type="dxa" w:w="1080"/>
            <w:tcMar>
              <w:top w:w="110" w:type="dxa"/>
              <w:start w:w="125" w:type="dxa"/>
              <w:bottom w:w="110" w:type="dxa"/>
              <w:end w:w="125" w:type="dxa"/>
            </w:tcMar>
            <w:vAlign w:val="center"/>
          </w:tcPr>
          <w:p>
            <w:pPr>
              <w:spacing w:after="0" w:line="247" w:lineRule="auto"/>
            </w:pPr>
            <w:r>
              <w:rPr>
                <w:color w:val="26323A"/>
                <w:sz w:val="14"/>
              </w:rPr>
              <w:t>No</w:t>
            </w:r>
          </w:p>
        </w:tc>
        <w:tc>
          <w:tcPr>
            <w:tcW w:type="dxa" w:w="1007"/>
            <w:tcMar>
              <w:top w:w="110" w:type="dxa"/>
              <w:start w:w="125" w:type="dxa"/>
              <w:bottom w:w="110" w:type="dxa"/>
              <w:end w:w="125" w:type="dxa"/>
            </w:tcMar>
            <w:vAlign w:val="center"/>
          </w:tcPr>
          <w:p>
            <w:pPr>
              <w:spacing w:after="0" w:line="247" w:lineRule="auto"/>
            </w:pPr>
            <w:r>
              <w:rPr>
                <w:color w:val="26323A"/>
                <w:sz w:val="14"/>
              </w:rPr>
              <w:t>No</w:t>
            </w:r>
          </w:p>
        </w:tc>
        <w:tc>
          <w:tcPr>
            <w:tcW w:type="dxa" w:w="936"/>
            <w:tcMar>
              <w:top w:w="110" w:type="dxa"/>
              <w:start w:w="125" w:type="dxa"/>
              <w:bottom w:w="110" w:type="dxa"/>
              <w:end w:w="125" w:type="dxa"/>
            </w:tcMar>
            <w:vAlign w:val="center"/>
          </w:tcPr>
          <w:p>
            <w:pPr>
              <w:spacing w:after="0" w:line="247" w:lineRule="auto"/>
            </w:pPr>
            <w:r>
              <w:rPr>
                <w:color w:val="26323A"/>
                <w:sz w:val="14"/>
              </w:rPr>
              <w:t>No</w:t>
            </w:r>
          </w:p>
        </w:tc>
        <w:tc>
          <w:tcPr>
            <w:tcW w:type="dxa" w:w="1368"/>
            <w:tcMar>
              <w:top w:w="110" w:type="dxa"/>
              <w:start w:w="125" w:type="dxa"/>
              <w:bottom w:w="110" w:type="dxa"/>
              <w:end w:w="125" w:type="dxa"/>
            </w:tcMar>
            <w:vAlign w:val="center"/>
          </w:tcPr>
          <w:p>
            <w:pPr>
              <w:spacing w:after="0" w:line="247" w:lineRule="auto"/>
            </w:pPr>
            <w:r>
              <w:rPr>
                <w:color w:val="26323A"/>
                <w:sz w:val="14"/>
              </w:rPr>
              <w:t>Strong</w:t>
            </w:r>
          </w:p>
        </w:tc>
      </w:tr>
    </w:tbl>
    <w:p>
      <w:pPr>
        <w:spacing w:after="40"/>
      </w:pPr>
    </w:p>
    <w:p>
      <w:pPr>
        <w:pStyle w:val="Title"/>
      </w:pPr>
      <w:r>
        <w:t>7. Best competitor ideas to incorporate</w:t>
      </w:r>
    </w:p>
    <w:tbl>
      <w:tblPr>
        <w:tblStyle w:val="TableGrid"/>
        <w:tblW w:type="auto" w:w="0"/>
        <w:jc w:val="center"/>
        <w:tblLook w:firstColumn="1" w:firstRow="1" w:lastColumn="0" w:lastRow="0" w:noHBand="0" w:noVBand="1" w:val="04A0"/>
      </w:tblPr>
      <w:tblGrid>
        <w:gridCol w:w="3351"/>
        <w:gridCol w:w="3351"/>
        <w:gridCol w:w="3351"/>
      </w:tblGrid>
      <w:tr>
        <w:trPr>
          <w:tblHeader w:val="true"/>
        </w:trPr>
        <w:tc>
          <w:tcPr>
            <w:tcW w:type="dxa" w:w="1584"/>
            <w:shd w:fill="173A52"/>
            <w:tcMar>
              <w:top w:w="110" w:type="dxa"/>
              <w:start w:w="125" w:type="dxa"/>
              <w:bottom w:w="110" w:type="dxa"/>
              <w:end w:w="125" w:type="dxa"/>
            </w:tcMar>
            <w:vAlign w:val="center"/>
          </w:tcPr>
          <w:p>
            <w:r>
              <w:rPr>
                <w:b/>
                <w:color w:val="FFFFFF"/>
                <w:sz w:val="17"/>
              </w:rPr>
              <w:t>Source</w:t>
            </w:r>
          </w:p>
        </w:tc>
        <w:tc>
          <w:tcPr>
            <w:tcW w:type="dxa" w:w="3024"/>
            <w:shd w:fill="173A52"/>
            <w:tcMar>
              <w:top w:w="110" w:type="dxa"/>
              <w:start w:w="125" w:type="dxa"/>
              <w:bottom w:w="110" w:type="dxa"/>
              <w:end w:w="125" w:type="dxa"/>
            </w:tcMar>
            <w:vAlign w:val="center"/>
          </w:tcPr>
          <w:p>
            <w:r>
              <w:rPr>
                <w:b/>
                <w:color w:val="FFFFFF"/>
                <w:sz w:val="17"/>
              </w:rPr>
              <w:t>Feature / idea</w:t>
            </w:r>
          </w:p>
        </w:tc>
        <w:tc>
          <w:tcPr>
            <w:tcW w:type="dxa" w:w="5688"/>
            <w:shd w:fill="173A52"/>
            <w:tcMar>
              <w:top w:w="110" w:type="dxa"/>
              <w:start w:w="125" w:type="dxa"/>
              <w:bottom w:w="110" w:type="dxa"/>
              <w:end w:w="125" w:type="dxa"/>
            </w:tcMar>
            <w:vAlign w:val="center"/>
          </w:tcPr>
          <w:p>
            <w:r>
              <w:rPr>
                <w:b/>
                <w:color w:val="FFFFFF"/>
                <w:sz w:val="17"/>
              </w:rPr>
              <w:t>Why it matters for MAG</w:t>
            </w:r>
          </w:p>
        </w:tc>
      </w:tr>
      <w:tr>
        <w:tc>
          <w:tcPr>
            <w:tcW w:type="dxa" w:w="1584"/>
            <w:tcMar>
              <w:top w:w="110" w:type="dxa"/>
              <w:start w:w="125" w:type="dxa"/>
              <w:bottom w:w="110" w:type="dxa"/>
              <w:end w:w="125" w:type="dxa"/>
            </w:tcMar>
            <w:vAlign w:val="center"/>
          </w:tcPr>
          <w:p>
            <w:pPr>
              <w:spacing w:after="0" w:line="247" w:lineRule="auto"/>
            </w:pPr>
            <w:r>
              <w:rPr>
                <w:color w:val="26323A"/>
                <w:sz w:val="17"/>
              </w:rPr>
              <w:t>Smartify</w:t>
            </w:r>
          </w:p>
        </w:tc>
        <w:tc>
          <w:tcPr>
            <w:tcW w:type="dxa" w:w="3024"/>
            <w:tcMar>
              <w:top w:w="110" w:type="dxa"/>
              <w:start w:w="125" w:type="dxa"/>
              <w:bottom w:w="110" w:type="dxa"/>
              <w:end w:w="125" w:type="dxa"/>
            </w:tcMar>
            <w:vAlign w:val="center"/>
          </w:tcPr>
          <w:p>
            <w:pPr>
              <w:spacing w:after="0" w:line="247" w:lineRule="auto"/>
            </w:pPr>
            <w:r>
              <w:rPr>
                <w:color w:val="26323A"/>
                <w:sz w:val="17"/>
              </w:rPr>
              <w:t>Object image recognition</w:t>
            </w:r>
          </w:p>
        </w:tc>
        <w:tc>
          <w:tcPr>
            <w:tcW w:type="dxa" w:w="5688"/>
            <w:tcMar>
              <w:top w:w="110" w:type="dxa"/>
              <w:start w:w="125" w:type="dxa"/>
              <w:bottom w:w="110" w:type="dxa"/>
              <w:end w:w="125" w:type="dxa"/>
            </w:tcMar>
            <w:vAlign w:val="center"/>
          </w:tcPr>
          <w:p>
            <w:pPr>
              <w:spacing w:after="0" w:line="247" w:lineRule="auto"/>
            </w:pPr>
            <w:r>
              <w:rPr>
                <w:color w:val="26323A"/>
                <w:sz w:val="17"/>
              </w:rPr>
              <w:t>Removes station-number friction and creates a premium visitor interaction.</w:t>
            </w:r>
          </w:p>
        </w:tc>
      </w:tr>
      <w:tr>
        <w:tc>
          <w:tcPr>
            <w:tcW w:type="dxa" w:w="1584"/>
            <w:tcMar>
              <w:top w:w="110" w:type="dxa"/>
              <w:start w:w="125" w:type="dxa"/>
              <w:bottom w:w="110" w:type="dxa"/>
              <w:end w:w="125" w:type="dxa"/>
            </w:tcMar>
            <w:vAlign w:val="center"/>
          </w:tcPr>
          <w:p>
            <w:pPr>
              <w:spacing w:after="0" w:line="247" w:lineRule="auto"/>
            </w:pPr>
            <w:r>
              <w:rPr>
                <w:color w:val="26323A"/>
                <w:sz w:val="17"/>
              </w:rPr>
              <w:t>Smartify</w:t>
            </w:r>
          </w:p>
        </w:tc>
        <w:tc>
          <w:tcPr>
            <w:tcW w:type="dxa" w:w="3024"/>
            <w:tcMar>
              <w:top w:w="110" w:type="dxa"/>
              <w:start w:w="125" w:type="dxa"/>
              <w:bottom w:w="110" w:type="dxa"/>
              <w:end w:w="125" w:type="dxa"/>
            </w:tcMar>
            <w:vAlign w:val="center"/>
          </w:tcPr>
          <w:p>
            <w:pPr>
              <w:spacing w:after="0" w:line="247" w:lineRule="auto"/>
            </w:pPr>
            <w:r>
              <w:rPr>
                <w:color w:val="26323A"/>
                <w:sz w:val="17"/>
              </w:rPr>
              <w:t>AI personalized tours</w:t>
            </w:r>
          </w:p>
        </w:tc>
        <w:tc>
          <w:tcPr>
            <w:tcW w:type="dxa" w:w="5688"/>
            <w:tcMar>
              <w:top w:w="110" w:type="dxa"/>
              <w:start w:w="125" w:type="dxa"/>
              <w:bottom w:w="110" w:type="dxa"/>
              <w:end w:w="125" w:type="dxa"/>
            </w:tcMar>
            <w:vAlign w:val="center"/>
          </w:tcPr>
          <w:p>
            <w:pPr>
              <w:spacing w:after="0" w:line="247" w:lineRule="auto"/>
            </w:pPr>
            <w:r>
              <w:rPr>
                <w:color w:val="26323A"/>
                <w:sz w:val="17"/>
              </w:rPr>
              <w:t>High-value premium feature based on time, interests and accessibility needs.</w:t>
            </w:r>
          </w:p>
        </w:tc>
      </w:tr>
      <w:tr>
        <w:tc>
          <w:tcPr>
            <w:tcW w:type="dxa" w:w="1584"/>
            <w:tcMar>
              <w:top w:w="110" w:type="dxa"/>
              <w:start w:w="125" w:type="dxa"/>
              <w:bottom w:w="110" w:type="dxa"/>
              <w:end w:w="125" w:type="dxa"/>
            </w:tcMar>
            <w:vAlign w:val="center"/>
          </w:tcPr>
          <w:p>
            <w:pPr>
              <w:spacing w:after="0" w:line="247" w:lineRule="auto"/>
            </w:pPr>
            <w:r>
              <w:rPr>
                <w:color w:val="26323A"/>
                <w:sz w:val="17"/>
              </w:rPr>
              <w:t>Smartify</w:t>
            </w:r>
          </w:p>
        </w:tc>
        <w:tc>
          <w:tcPr>
            <w:tcW w:type="dxa" w:w="3024"/>
            <w:tcMar>
              <w:top w:w="110" w:type="dxa"/>
              <w:start w:w="125" w:type="dxa"/>
              <w:bottom w:w="110" w:type="dxa"/>
              <w:end w:w="125" w:type="dxa"/>
            </w:tcMar>
            <w:vAlign w:val="center"/>
          </w:tcPr>
          <w:p>
            <w:pPr>
              <w:spacing w:after="0" w:line="247" w:lineRule="auto"/>
            </w:pPr>
            <w:r>
              <w:rPr>
                <w:color w:val="26323A"/>
                <w:sz w:val="17"/>
              </w:rPr>
              <w:t>Dynamic QR</w:t>
            </w:r>
          </w:p>
        </w:tc>
        <w:tc>
          <w:tcPr>
            <w:tcW w:type="dxa" w:w="5688"/>
            <w:tcMar>
              <w:top w:w="110" w:type="dxa"/>
              <w:start w:w="125" w:type="dxa"/>
              <w:bottom w:w="110" w:type="dxa"/>
              <w:end w:w="125" w:type="dxa"/>
            </w:tcMar>
            <w:vAlign w:val="center"/>
          </w:tcPr>
          <w:p>
            <w:pPr>
              <w:spacing w:after="0" w:line="247" w:lineRule="auto"/>
            </w:pPr>
            <w:r>
              <w:rPr>
                <w:color w:val="26323A"/>
                <w:sz w:val="17"/>
              </w:rPr>
              <w:t>Lets museums change destinations without reprinting labels.</w:t>
            </w:r>
          </w:p>
        </w:tc>
      </w:tr>
      <w:tr>
        <w:tc>
          <w:tcPr>
            <w:tcW w:type="dxa" w:w="1584"/>
            <w:tcMar>
              <w:top w:w="110" w:type="dxa"/>
              <w:start w:w="125" w:type="dxa"/>
              <w:bottom w:w="110" w:type="dxa"/>
              <w:end w:w="125" w:type="dxa"/>
            </w:tcMar>
            <w:vAlign w:val="center"/>
          </w:tcPr>
          <w:p>
            <w:pPr>
              <w:spacing w:after="0" w:line="247" w:lineRule="auto"/>
            </w:pPr>
            <w:r>
              <w:rPr>
                <w:color w:val="26323A"/>
                <w:sz w:val="17"/>
              </w:rPr>
              <w:t>Smartify</w:t>
            </w:r>
          </w:p>
        </w:tc>
        <w:tc>
          <w:tcPr>
            <w:tcW w:type="dxa" w:w="3024"/>
            <w:tcMar>
              <w:top w:w="110" w:type="dxa"/>
              <w:start w:w="125" w:type="dxa"/>
              <w:bottom w:w="110" w:type="dxa"/>
              <w:end w:w="125" w:type="dxa"/>
            </w:tcMar>
            <w:vAlign w:val="center"/>
          </w:tcPr>
          <w:p>
            <w:pPr>
              <w:spacing w:after="0" w:line="247" w:lineRule="auto"/>
            </w:pPr>
            <w:r>
              <w:rPr>
                <w:color w:val="26323A"/>
                <w:sz w:val="17"/>
              </w:rPr>
              <w:t>CRM/shop/donation integrations</w:t>
            </w:r>
          </w:p>
        </w:tc>
        <w:tc>
          <w:tcPr>
            <w:tcW w:type="dxa" w:w="5688"/>
            <w:tcMar>
              <w:top w:w="110" w:type="dxa"/>
              <w:start w:w="125" w:type="dxa"/>
              <w:bottom w:w="110" w:type="dxa"/>
              <w:end w:w="125" w:type="dxa"/>
            </w:tcMar>
            <w:vAlign w:val="center"/>
          </w:tcPr>
          <w:p>
            <w:pPr>
              <w:spacing w:after="0" w:line="247" w:lineRule="auto"/>
            </w:pPr>
            <w:r>
              <w:rPr>
                <w:color w:val="26323A"/>
                <w:sz w:val="17"/>
              </w:rPr>
              <w:t>Links visitor engagement to institutional revenue and relationships.</w:t>
            </w:r>
          </w:p>
        </w:tc>
      </w:tr>
      <w:tr>
        <w:tc>
          <w:tcPr>
            <w:tcW w:type="dxa" w:w="1584"/>
            <w:tcMar>
              <w:top w:w="110" w:type="dxa"/>
              <w:start w:w="125" w:type="dxa"/>
              <w:bottom w:w="110" w:type="dxa"/>
              <w:end w:w="125" w:type="dxa"/>
            </w:tcMar>
            <w:vAlign w:val="center"/>
          </w:tcPr>
          <w:p>
            <w:pPr>
              <w:spacing w:after="0" w:line="247" w:lineRule="auto"/>
            </w:pPr>
            <w:r>
              <w:rPr>
                <w:color w:val="26323A"/>
                <w:sz w:val="17"/>
              </w:rPr>
              <w:t>Bloomberg</w:t>
            </w:r>
          </w:p>
        </w:tc>
        <w:tc>
          <w:tcPr>
            <w:tcW w:type="dxa" w:w="3024"/>
            <w:tcMar>
              <w:top w:w="110" w:type="dxa"/>
              <w:start w:w="125" w:type="dxa"/>
              <w:bottom w:w="110" w:type="dxa"/>
              <w:end w:w="125" w:type="dxa"/>
            </w:tcMar>
            <w:vAlign w:val="center"/>
          </w:tcPr>
          <w:p>
            <w:pPr>
              <w:spacing w:after="0" w:line="247" w:lineRule="auto"/>
            </w:pPr>
            <w:r>
              <w:rPr>
                <w:color w:val="26323A"/>
                <w:sz w:val="17"/>
              </w:rPr>
              <w:t>Robust offline experience</w:t>
            </w:r>
          </w:p>
        </w:tc>
        <w:tc>
          <w:tcPr>
            <w:tcW w:type="dxa" w:w="5688"/>
            <w:tcMar>
              <w:top w:w="110" w:type="dxa"/>
              <w:start w:w="125" w:type="dxa"/>
              <w:bottom w:w="110" w:type="dxa"/>
              <w:end w:w="125" w:type="dxa"/>
            </w:tcMar>
            <w:vAlign w:val="center"/>
          </w:tcPr>
          <w:p>
            <w:pPr>
              <w:spacing w:after="0" w:line="247" w:lineRule="auto"/>
            </w:pPr>
            <w:r>
              <w:rPr>
                <w:color w:val="26323A"/>
                <w:sz w:val="17"/>
              </w:rPr>
              <w:t>Critical for museums with poor indoor connectivity.</w:t>
            </w:r>
          </w:p>
        </w:tc>
      </w:tr>
      <w:tr>
        <w:tc>
          <w:tcPr>
            <w:tcW w:type="dxa" w:w="1584"/>
            <w:tcMar>
              <w:top w:w="110" w:type="dxa"/>
              <w:start w:w="125" w:type="dxa"/>
              <w:bottom w:w="110" w:type="dxa"/>
              <w:end w:w="125" w:type="dxa"/>
            </w:tcMar>
            <w:vAlign w:val="center"/>
          </w:tcPr>
          <w:p>
            <w:pPr>
              <w:spacing w:after="0" w:line="247" w:lineRule="auto"/>
            </w:pPr>
            <w:r>
              <w:rPr>
                <w:color w:val="26323A"/>
                <w:sz w:val="17"/>
              </w:rPr>
              <w:t>STQRY</w:t>
            </w:r>
          </w:p>
        </w:tc>
        <w:tc>
          <w:tcPr>
            <w:tcW w:type="dxa" w:w="3024"/>
            <w:tcMar>
              <w:top w:w="110" w:type="dxa"/>
              <w:start w:w="125" w:type="dxa"/>
              <w:bottom w:w="110" w:type="dxa"/>
              <w:end w:w="125" w:type="dxa"/>
            </w:tcMar>
            <w:vAlign w:val="center"/>
          </w:tcPr>
          <w:p>
            <w:pPr>
              <w:spacing w:after="0" w:line="247" w:lineRule="auto"/>
            </w:pPr>
            <w:r>
              <w:rPr>
                <w:color w:val="26323A"/>
                <w:sz w:val="17"/>
              </w:rPr>
              <w:t>Geofencing + beacon architecture</w:t>
            </w:r>
          </w:p>
        </w:tc>
        <w:tc>
          <w:tcPr>
            <w:tcW w:type="dxa" w:w="5688"/>
            <w:tcMar>
              <w:top w:w="110" w:type="dxa"/>
              <w:start w:w="125" w:type="dxa"/>
              <w:bottom w:w="110" w:type="dxa"/>
              <w:end w:w="125" w:type="dxa"/>
            </w:tcMar>
            <w:vAlign w:val="center"/>
          </w:tcPr>
          <w:p>
            <w:pPr>
              <w:spacing w:after="0" w:line="247" w:lineRule="auto"/>
            </w:pPr>
            <w:r>
              <w:rPr>
                <w:color w:val="26323A"/>
                <w:sz w:val="17"/>
              </w:rPr>
              <w:t>Useful future bridge to automatic indoor/outdoor triggering.</w:t>
            </w:r>
          </w:p>
        </w:tc>
      </w:tr>
      <w:tr>
        <w:tc>
          <w:tcPr>
            <w:tcW w:type="dxa" w:w="1584"/>
            <w:tcMar>
              <w:top w:w="110" w:type="dxa"/>
              <w:start w:w="125" w:type="dxa"/>
              <w:bottom w:w="110" w:type="dxa"/>
              <w:end w:w="125" w:type="dxa"/>
            </w:tcMar>
            <w:vAlign w:val="center"/>
          </w:tcPr>
          <w:p>
            <w:pPr>
              <w:spacing w:after="0" w:line="247" w:lineRule="auto"/>
            </w:pPr>
            <w:r>
              <w:rPr>
                <w:color w:val="26323A"/>
                <w:sz w:val="17"/>
              </w:rPr>
              <w:t>STQRY</w:t>
            </w:r>
          </w:p>
        </w:tc>
        <w:tc>
          <w:tcPr>
            <w:tcW w:type="dxa" w:w="3024"/>
            <w:tcMar>
              <w:top w:w="110" w:type="dxa"/>
              <w:start w:w="125" w:type="dxa"/>
              <w:bottom w:w="110" w:type="dxa"/>
              <w:end w:w="125" w:type="dxa"/>
            </w:tcMar>
            <w:vAlign w:val="center"/>
          </w:tcPr>
          <w:p>
            <w:pPr>
              <w:spacing w:after="0" w:line="247" w:lineRule="auto"/>
            </w:pPr>
            <w:r>
              <w:rPr>
                <w:color w:val="26323A"/>
                <w:sz w:val="17"/>
              </w:rPr>
              <w:t>Games, quizzes and badges</w:t>
            </w:r>
          </w:p>
        </w:tc>
        <w:tc>
          <w:tcPr>
            <w:tcW w:type="dxa" w:w="5688"/>
            <w:tcMar>
              <w:top w:w="110" w:type="dxa"/>
              <w:start w:w="125" w:type="dxa"/>
              <w:bottom w:w="110" w:type="dxa"/>
              <w:end w:w="125" w:type="dxa"/>
            </w:tcMar>
            <w:vAlign w:val="center"/>
          </w:tcPr>
          <w:p>
            <w:pPr>
              <w:spacing w:after="0" w:line="247" w:lineRule="auto"/>
            </w:pPr>
            <w:r>
              <w:rPr>
                <w:color w:val="26323A"/>
                <w:sz w:val="17"/>
              </w:rPr>
              <w:t>Expands family and education use cases.</w:t>
            </w:r>
          </w:p>
        </w:tc>
      </w:tr>
      <w:tr>
        <w:tc>
          <w:tcPr>
            <w:tcW w:type="dxa" w:w="1584"/>
            <w:tcMar>
              <w:top w:w="110" w:type="dxa"/>
              <w:start w:w="125" w:type="dxa"/>
              <w:bottom w:w="110" w:type="dxa"/>
              <w:end w:w="125" w:type="dxa"/>
            </w:tcMar>
            <w:vAlign w:val="center"/>
          </w:tcPr>
          <w:p>
            <w:pPr>
              <w:spacing w:after="0" w:line="247" w:lineRule="auto"/>
            </w:pPr>
            <w:r>
              <w:rPr>
                <w:color w:val="26323A"/>
                <w:sz w:val="17"/>
              </w:rPr>
              <w:t>Nubart</w:t>
            </w:r>
          </w:p>
        </w:tc>
        <w:tc>
          <w:tcPr>
            <w:tcW w:type="dxa" w:w="3024"/>
            <w:tcMar>
              <w:top w:w="110" w:type="dxa"/>
              <w:start w:w="125" w:type="dxa"/>
              <w:bottom w:w="110" w:type="dxa"/>
              <w:end w:w="125" w:type="dxa"/>
            </w:tcMar>
            <w:vAlign w:val="center"/>
          </w:tcPr>
          <w:p>
            <w:pPr>
              <w:spacing w:after="0" w:line="247" w:lineRule="auto"/>
            </w:pPr>
            <w:r>
              <w:rPr>
                <w:color w:val="26323A"/>
                <w:sz w:val="17"/>
              </w:rPr>
              <w:t>Monetizable access QR/token</w:t>
            </w:r>
          </w:p>
        </w:tc>
        <w:tc>
          <w:tcPr>
            <w:tcW w:type="dxa" w:w="5688"/>
            <w:tcMar>
              <w:top w:w="110" w:type="dxa"/>
              <w:start w:w="125" w:type="dxa"/>
              <w:bottom w:w="110" w:type="dxa"/>
              <w:end w:w="125" w:type="dxa"/>
            </w:tcMar>
            <w:vAlign w:val="center"/>
          </w:tcPr>
          <w:p>
            <w:pPr>
              <w:spacing w:after="0" w:line="247" w:lineRule="auto"/>
            </w:pPr>
            <w:r>
              <w:rPr>
                <w:color w:val="26323A"/>
                <w:sz w:val="17"/>
              </w:rPr>
              <w:t>Makes paid BYOD guides practical.</w:t>
            </w:r>
          </w:p>
        </w:tc>
      </w:tr>
      <w:tr>
        <w:tc>
          <w:tcPr>
            <w:tcW w:type="dxa" w:w="1584"/>
            <w:tcMar>
              <w:top w:w="110" w:type="dxa"/>
              <w:start w:w="125" w:type="dxa"/>
              <w:bottom w:w="110" w:type="dxa"/>
              <w:end w:w="125" w:type="dxa"/>
            </w:tcMar>
            <w:vAlign w:val="center"/>
          </w:tcPr>
          <w:p>
            <w:pPr>
              <w:spacing w:after="0" w:line="247" w:lineRule="auto"/>
            </w:pPr>
            <w:r>
              <w:rPr>
                <w:color w:val="26323A"/>
                <w:sz w:val="17"/>
              </w:rPr>
              <w:t>Guide-ID</w:t>
            </w:r>
          </w:p>
        </w:tc>
        <w:tc>
          <w:tcPr>
            <w:tcW w:type="dxa" w:w="3024"/>
            <w:tcMar>
              <w:top w:w="110" w:type="dxa"/>
              <w:start w:w="125" w:type="dxa"/>
              <w:bottom w:w="110" w:type="dxa"/>
              <w:end w:w="125" w:type="dxa"/>
            </w:tcMar>
            <w:vAlign w:val="center"/>
          </w:tcPr>
          <w:p>
            <w:pPr>
              <w:spacing w:after="0" w:line="247" w:lineRule="auto"/>
            </w:pPr>
            <w:r>
              <w:rPr>
                <w:color w:val="26323A"/>
                <w:sz w:val="17"/>
              </w:rPr>
              <w:t>Screen-free / automatic triggering</w:t>
            </w:r>
          </w:p>
        </w:tc>
        <w:tc>
          <w:tcPr>
            <w:tcW w:type="dxa" w:w="5688"/>
            <w:tcMar>
              <w:top w:w="110" w:type="dxa"/>
              <w:start w:w="125" w:type="dxa"/>
              <w:bottom w:w="110" w:type="dxa"/>
              <w:end w:w="125" w:type="dxa"/>
            </w:tcMar>
            <w:vAlign w:val="center"/>
          </w:tcPr>
          <w:p>
            <w:pPr>
              <w:spacing w:after="0" w:line="247" w:lineRule="auto"/>
            </w:pPr>
            <w:r>
              <w:rPr>
                <w:color w:val="26323A"/>
                <w:sz w:val="17"/>
              </w:rPr>
              <w:t>Potential partner integration for institutions that prefer dedicated hardware.</w:t>
            </w:r>
          </w:p>
        </w:tc>
      </w:tr>
      <w:tr>
        <w:tc>
          <w:tcPr>
            <w:tcW w:type="dxa" w:w="1584"/>
            <w:tcMar>
              <w:top w:w="110" w:type="dxa"/>
              <w:start w:w="125" w:type="dxa"/>
              <w:bottom w:w="110" w:type="dxa"/>
              <w:end w:w="125" w:type="dxa"/>
            </w:tcMar>
            <w:vAlign w:val="center"/>
          </w:tcPr>
          <w:p>
            <w:pPr>
              <w:spacing w:after="0" w:line="247" w:lineRule="auto"/>
            </w:pPr>
            <w:r>
              <w:rPr>
                <w:color w:val="26323A"/>
                <w:sz w:val="17"/>
              </w:rPr>
              <w:t>Musa</w:t>
            </w:r>
          </w:p>
        </w:tc>
        <w:tc>
          <w:tcPr>
            <w:tcW w:type="dxa" w:w="3024"/>
            <w:tcMar>
              <w:top w:w="110" w:type="dxa"/>
              <w:start w:w="125" w:type="dxa"/>
              <w:bottom w:w="110" w:type="dxa"/>
              <w:end w:w="125" w:type="dxa"/>
            </w:tcMar>
            <w:vAlign w:val="center"/>
          </w:tcPr>
          <w:p>
            <w:pPr>
              <w:spacing w:after="0" w:line="247" w:lineRule="auto"/>
            </w:pPr>
            <w:r>
              <w:rPr>
                <w:color w:val="26323A"/>
                <w:sz w:val="17"/>
              </w:rPr>
              <w:t>Museum-grounded visitor Q&amp;A</w:t>
            </w:r>
          </w:p>
        </w:tc>
        <w:tc>
          <w:tcPr>
            <w:tcW w:type="dxa" w:w="5688"/>
            <w:tcMar>
              <w:top w:w="110" w:type="dxa"/>
              <w:start w:w="125" w:type="dxa"/>
              <w:bottom w:w="110" w:type="dxa"/>
              <w:end w:w="125" w:type="dxa"/>
            </w:tcMar>
            <w:vAlign w:val="center"/>
          </w:tcPr>
          <w:p>
            <w:pPr>
              <w:spacing w:after="0" w:line="247" w:lineRule="auto"/>
            </w:pPr>
            <w:r>
              <w:rPr>
                <w:color w:val="26323A"/>
                <w:sz w:val="17"/>
              </w:rPr>
              <w:t>Likely to become a standard high-end visitor expectation.</w:t>
            </w:r>
          </w:p>
        </w:tc>
      </w:tr>
      <w:tr>
        <w:tc>
          <w:tcPr>
            <w:tcW w:type="dxa" w:w="1584"/>
            <w:tcMar>
              <w:top w:w="110" w:type="dxa"/>
              <w:start w:w="125" w:type="dxa"/>
              <w:bottom w:w="110" w:type="dxa"/>
              <w:end w:w="125" w:type="dxa"/>
            </w:tcMar>
            <w:vAlign w:val="center"/>
          </w:tcPr>
          <w:p>
            <w:pPr>
              <w:spacing w:after="0" w:line="247" w:lineRule="auto"/>
            </w:pPr>
            <w:r>
              <w:rPr>
                <w:color w:val="26323A"/>
                <w:sz w:val="17"/>
              </w:rPr>
              <w:t>Musa</w:t>
            </w:r>
          </w:p>
        </w:tc>
        <w:tc>
          <w:tcPr>
            <w:tcW w:type="dxa" w:w="3024"/>
            <w:tcMar>
              <w:top w:w="110" w:type="dxa"/>
              <w:start w:w="125" w:type="dxa"/>
              <w:bottom w:w="110" w:type="dxa"/>
              <w:end w:w="125" w:type="dxa"/>
            </w:tcMar>
            <w:vAlign w:val="center"/>
          </w:tcPr>
          <w:p>
            <w:pPr>
              <w:spacing w:after="0" w:line="247" w:lineRule="auto"/>
            </w:pPr>
            <w:r>
              <w:rPr>
                <w:color w:val="26323A"/>
                <w:sz w:val="17"/>
              </w:rPr>
              <w:t>Multilingual AI narration</w:t>
            </w:r>
          </w:p>
        </w:tc>
        <w:tc>
          <w:tcPr>
            <w:tcW w:type="dxa" w:w="5688"/>
            <w:tcMar>
              <w:top w:w="110" w:type="dxa"/>
              <w:start w:w="125" w:type="dxa"/>
              <w:bottom w:w="110" w:type="dxa"/>
              <w:end w:w="125" w:type="dxa"/>
            </w:tcMar>
            <w:vAlign w:val="center"/>
          </w:tcPr>
          <w:p>
            <w:pPr>
              <w:spacing w:after="0" w:line="247" w:lineRule="auto"/>
            </w:pPr>
            <w:r>
              <w:rPr>
                <w:color w:val="26323A"/>
                <w:sz w:val="17"/>
              </w:rPr>
              <w:t>Can reduce production costs when combined with curator approval.</w:t>
            </w:r>
          </w:p>
        </w:tc>
      </w:tr>
      <w:tr>
        <w:tc>
          <w:tcPr>
            <w:tcW w:type="dxa" w:w="1584"/>
            <w:tcMar>
              <w:top w:w="110" w:type="dxa"/>
              <w:start w:w="125" w:type="dxa"/>
              <w:bottom w:w="110" w:type="dxa"/>
              <w:end w:w="125" w:type="dxa"/>
            </w:tcMar>
            <w:vAlign w:val="center"/>
          </w:tcPr>
          <w:p>
            <w:pPr>
              <w:spacing w:after="0" w:line="247" w:lineRule="auto"/>
            </w:pPr>
            <w:r>
              <w:rPr>
                <w:color w:val="26323A"/>
                <w:sz w:val="17"/>
              </w:rPr>
              <w:t>izi.TRAVEL</w:t>
            </w:r>
          </w:p>
        </w:tc>
        <w:tc>
          <w:tcPr>
            <w:tcW w:type="dxa" w:w="3024"/>
            <w:tcMar>
              <w:top w:w="110" w:type="dxa"/>
              <w:start w:w="125" w:type="dxa"/>
              <w:bottom w:w="110" w:type="dxa"/>
              <w:end w:w="125" w:type="dxa"/>
            </w:tcMar>
            <w:vAlign w:val="center"/>
          </w:tcPr>
          <w:p>
            <w:pPr>
              <w:spacing w:after="0" w:line="247" w:lineRule="auto"/>
            </w:pPr>
            <w:r>
              <w:rPr>
                <w:color w:val="26323A"/>
                <w:sz w:val="17"/>
              </w:rPr>
              <w:t>Very simple authoring</w:t>
            </w:r>
          </w:p>
        </w:tc>
        <w:tc>
          <w:tcPr>
            <w:tcW w:type="dxa" w:w="5688"/>
            <w:tcMar>
              <w:top w:w="110" w:type="dxa"/>
              <w:start w:w="125" w:type="dxa"/>
              <w:bottom w:w="110" w:type="dxa"/>
              <w:end w:w="125" w:type="dxa"/>
            </w:tcMar>
            <w:vAlign w:val="center"/>
          </w:tcPr>
          <w:p>
            <w:pPr>
              <w:spacing w:after="0" w:line="247" w:lineRule="auto"/>
            </w:pPr>
            <w:r>
              <w:rPr>
                <w:color w:val="26323A"/>
                <w:sz w:val="17"/>
              </w:rPr>
              <w:t>MAG must not let enterprise complexity make everyday editorial work difficult.</w:t>
            </w:r>
          </w:p>
        </w:tc>
      </w:tr>
    </w:tbl>
    <w:p>
      <w:pPr>
        <w:spacing w:after="40"/>
      </w:pPr>
    </w:p>
    <w:p>
      <w:pPr>
        <w:pStyle w:val="Title"/>
      </w:pPr>
      <w:r>
        <w:t>8. MAG advantages</w:t>
      </w:r>
    </w:p>
    <w:p>
      <w:pPr>
        <w:pStyle w:val="Heading1"/>
      </w:pPr>
      <w:r>
        <w:t>8.1 Museum-owned deployment</w:t>
      </w:r>
    </w:p>
    <w:p>
      <w:r>
        <w:t>MAG can be deployed on the institution’s own WordPress/hosting infrastructure. This supports a strong enterprise proposition: the museum controls its domain, content, audio files, backups, analytics stack and lifecycle. The platform does not need to become another external content silo.</w:t>
      </w:r>
    </w:p>
    <w:p>
      <w:pPr>
        <w:pStyle w:val="Heading1"/>
      </w:pPr>
      <w:r>
        <w:t>8.2 Existing collection as source of truth</w:t>
      </w:r>
    </w:p>
    <w:p>
      <w:r>
        <w:t>MAG’s semantic mapping and resolver layer allow an existing collection CPT to remain authoritative. The visitor guide adds contextual audio, spaces, stories and tours without forcing the institution to maintain a parallel object catalogue in a separate SaaS.</w:t>
      </w:r>
    </w:p>
    <w:p>
      <w:pPr>
        <w:pStyle w:val="Heading1"/>
      </w:pPr>
      <w:r>
        <w:t>8.3 Bespoke integration without a bespoke codebase</w:t>
      </w:r>
    </w:p>
    <w:p>
      <w:r>
        <w:t>The long-term opportunity is to combine product stability with institution-specific adapters. Large museums often have highly specific collections, metadata, translation and publishing workflows. MAG can adapt at the integration layer rather than forking the entire product.</w:t>
      </w:r>
    </w:p>
    <w:p>
      <w:pPr>
        <w:pStyle w:val="Heading1"/>
      </w:pPr>
      <w:r>
        <w:t>8.4 Privacy and data sovereignty</w:t>
      </w:r>
    </w:p>
    <w:p>
      <w:r>
        <w:t>The current outdoor model already keeps precise visitor coordinates in the browser rather than sending them to the server or analytics. This privacy-by-design approach should become a formal procurement advantage, especially for European public institutions.</w:t>
      </w:r>
    </w:p>
    <w:p>
      <w:pPr>
        <w:pStyle w:val="Heading1"/>
      </w:pPr>
      <w:r>
        <w:t>8.5 Strong content semantics</w:t>
      </w:r>
    </w:p>
    <w:p>
      <w:r>
        <w:t>Object, Space, Story, Tour and Tour Stop provide a richer narrative model than a simple numbered playlist. Tour Stop inheritance and overrides support multiple audiences without duplicating the collection itself.</w:t>
      </w:r>
    </w:p>
    <w:tbl>
      <w:tblPr>
        <w:tblW w:type="auto" w:w="0"/>
        <w:jc w:val="center"/>
        <w:tblLook w:firstColumn="1" w:firstRow="1" w:lastColumn="0" w:lastRow="0" w:noHBand="0" w:noVBand="1" w:val="04A0"/>
      </w:tblPr>
      <w:tblGrid>
        <w:gridCol w:w="10052"/>
      </w:tblGrid>
      <w:tr>
        <w:trPr>
          <w:cantSplit w:val="true"/>
        </w:trPr>
        <w:tc>
          <w:tcPr>
            <w:tcW w:type="dxa" w:w="10052"/>
            <w:shd w:fill="DDEFE4"/>
            <w:tcMar>
              <w:top w:w="170" w:type="dxa"/>
              <w:start w:w="200" w:type="dxa"/>
              <w:bottom w:w="170" w:type="dxa"/>
              <w:end w:w="200" w:type="dxa"/>
            </w:tcMar>
          </w:tcPr>
          <w:p>
            <w:pPr>
              <w:spacing w:after="80"/>
            </w:pPr>
            <w:r>
              <w:rPr>
                <w:b/>
                <w:color w:val="173A52"/>
                <w:sz w:val="21"/>
              </w:rPr>
              <w:t>Core differentiator</w:t>
            </w:r>
          </w:p>
          <w:p>
            <w:pPr>
              <w:spacing w:after="0" w:line="264" w:lineRule="auto"/>
            </w:pPr>
            <w:r>
              <w:rPr>
                <w:sz w:val="20"/>
              </w:rPr>
              <w:t>MAG should become the visitor layer over the museum’s existing digital infrastructure, not a replacement CMS that forces a second copy of the collection.</w:t>
            </w:r>
          </w:p>
        </w:tc>
      </w:tr>
    </w:tbl>
    <w:p>
      <w:pPr>
        <w:spacing w:after="40"/>
      </w:pPr>
    </w:p>
    <w:p>
      <w:pPr>
        <w:pStyle w:val="Title"/>
      </w:pPr>
      <w:r>
        <w:t>9. Current gaps and risks</w:t>
      </w:r>
    </w:p>
    <w:tbl>
      <w:tblPr>
        <w:tblStyle w:val="TableGrid"/>
        <w:tblW w:type="auto" w:w="0"/>
        <w:jc w:val="center"/>
        <w:tblLook w:firstColumn="1" w:firstRow="1" w:lastColumn="0" w:lastRow="0" w:noHBand="0" w:noVBand="1" w:val="04A0"/>
      </w:tblPr>
      <w:tblGrid>
        <w:gridCol w:w="3351"/>
        <w:gridCol w:w="3351"/>
        <w:gridCol w:w="3351"/>
      </w:tblGrid>
      <w:tr>
        <w:trPr>
          <w:tblHeader w:val="true"/>
        </w:trPr>
        <w:tc>
          <w:tcPr>
            <w:tcW w:type="dxa" w:w="2232"/>
            <w:shd w:fill="173A52"/>
            <w:tcMar>
              <w:top w:w="110" w:type="dxa"/>
              <w:start w:w="125" w:type="dxa"/>
              <w:bottom w:w="110" w:type="dxa"/>
              <w:end w:w="125" w:type="dxa"/>
            </w:tcMar>
            <w:vAlign w:val="center"/>
          </w:tcPr>
          <w:p>
            <w:r>
              <w:rPr>
                <w:b/>
                <w:color w:val="FFFFFF"/>
                <w:sz w:val="17"/>
              </w:rPr>
              <w:t>Gap</w:t>
            </w:r>
          </w:p>
        </w:tc>
        <w:tc>
          <w:tcPr>
            <w:tcW w:type="dxa" w:w="6192"/>
            <w:shd w:fill="173A52"/>
            <w:tcMar>
              <w:top w:w="110" w:type="dxa"/>
              <w:start w:w="125" w:type="dxa"/>
              <w:bottom w:w="110" w:type="dxa"/>
              <w:end w:w="125" w:type="dxa"/>
            </w:tcMar>
            <w:vAlign w:val="center"/>
          </w:tcPr>
          <w:p>
            <w:r>
              <w:rPr>
                <w:b/>
                <w:color w:val="FFFFFF"/>
                <w:sz w:val="17"/>
              </w:rPr>
              <w:t>Why it matters</w:t>
            </w:r>
          </w:p>
        </w:tc>
        <w:tc>
          <w:tcPr>
            <w:tcW w:type="dxa" w:w="1800"/>
            <w:shd w:fill="173A52"/>
            <w:tcMar>
              <w:top w:w="110" w:type="dxa"/>
              <w:start w:w="125" w:type="dxa"/>
              <w:bottom w:w="110" w:type="dxa"/>
              <w:end w:w="125" w:type="dxa"/>
            </w:tcMar>
            <w:vAlign w:val="center"/>
          </w:tcPr>
          <w:p>
            <w:r>
              <w:rPr>
                <w:b/>
                <w:color w:val="FFFFFF"/>
                <w:sz w:val="17"/>
              </w:rPr>
              <w:t>Priority</w:t>
            </w:r>
          </w:p>
        </w:tc>
      </w:tr>
      <w:tr>
        <w:tc>
          <w:tcPr>
            <w:tcW w:type="dxa" w:w="2232"/>
            <w:tcMar>
              <w:top w:w="110" w:type="dxa"/>
              <w:start w:w="125" w:type="dxa"/>
              <w:bottom w:w="110" w:type="dxa"/>
              <w:end w:w="125" w:type="dxa"/>
            </w:tcMar>
            <w:vAlign w:val="center"/>
          </w:tcPr>
          <w:p>
            <w:pPr>
              <w:spacing w:after="0" w:line="247" w:lineRule="auto"/>
            </w:pPr>
            <w:r>
              <w:rPr>
                <w:color w:val="26323A"/>
                <w:sz w:val="17"/>
              </w:rPr>
              <w:t>Offline/PWA</w:t>
            </w:r>
          </w:p>
        </w:tc>
        <w:tc>
          <w:tcPr>
            <w:tcW w:type="dxa" w:w="6192"/>
            <w:tcMar>
              <w:top w:w="110" w:type="dxa"/>
              <w:start w:w="125" w:type="dxa"/>
              <w:bottom w:w="110" w:type="dxa"/>
              <w:end w:w="125" w:type="dxa"/>
            </w:tcMar>
            <w:vAlign w:val="center"/>
          </w:tcPr>
          <w:p>
            <w:pPr>
              <w:spacing w:after="0" w:line="247" w:lineRule="auto"/>
            </w:pPr>
            <w:r>
              <w:rPr>
                <w:color w:val="26323A"/>
                <w:sz w:val="17"/>
              </w:rPr>
              <w:t>Indoor networks are unreliable; mature competitors support offline or downloadable experiences.</w:t>
            </w:r>
          </w:p>
        </w:tc>
        <w:tc>
          <w:tcPr>
            <w:tcW w:type="dxa" w:w="1800"/>
            <w:tcMar>
              <w:top w:w="110" w:type="dxa"/>
              <w:start w:w="125" w:type="dxa"/>
              <w:bottom w:w="110" w:type="dxa"/>
              <w:end w:w="125" w:type="dxa"/>
            </w:tcMar>
            <w:vAlign w:val="center"/>
          </w:tcPr>
          <w:p>
            <w:pPr>
              <w:spacing w:after="0" w:line="247" w:lineRule="auto"/>
            </w:pPr>
            <w:r>
              <w:rPr>
                <w:color w:val="26323A"/>
                <w:sz w:val="17"/>
              </w:rPr>
              <w:t>Very high</w:t>
            </w:r>
          </w:p>
        </w:tc>
      </w:tr>
      <w:tr>
        <w:tc>
          <w:tcPr>
            <w:tcW w:type="dxa" w:w="2232"/>
            <w:tcMar>
              <w:top w:w="110" w:type="dxa"/>
              <w:start w:w="125" w:type="dxa"/>
              <w:bottom w:w="110" w:type="dxa"/>
              <w:end w:w="125" w:type="dxa"/>
            </w:tcMar>
            <w:vAlign w:val="center"/>
          </w:tcPr>
          <w:p>
            <w:pPr>
              <w:spacing w:after="0" w:line="247" w:lineRule="auto"/>
            </w:pPr>
            <w:r>
              <w:rPr>
                <w:color w:val="26323A"/>
                <w:sz w:val="17"/>
              </w:rPr>
              <w:t>Neutral multilingual layer</w:t>
            </w:r>
          </w:p>
        </w:tc>
        <w:tc>
          <w:tcPr>
            <w:tcW w:type="dxa" w:w="6192"/>
            <w:tcMar>
              <w:top w:w="110" w:type="dxa"/>
              <w:start w:w="125" w:type="dxa"/>
              <w:bottom w:w="110" w:type="dxa"/>
              <w:end w:w="125" w:type="dxa"/>
            </w:tcMar>
            <w:vAlign w:val="center"/>
          </w:tcPr>
          <w:p>
            <w:pPr>
              <w:spacing w:after="0" w:line="247" w:lineRule="auto"/>
            </w:pPr>
            <w:r>
              <w:rPr>
                <w:color w:val="26323A"/>
                <w:sz w:val="17"/>
              </w:rPr>
              <w:t>WPML-only architecture limits deployment flexibility.</w:t>
            </w:r>
          </w:p>
        </w:tc>
        <w:tc>
          <w:tcPr>
            <w:tcW w:type="dxa" w:w="1800"/>
            <w:tcMar>
              <w:top w:w="110" w:type="dxa"/>
              <w:start w:w="125" w:type="dxa"/>
              <w:bottom w:w="110" w:type="dxa"/>
              <w:end w:w="125" w:type="dxa"/>
            </w:tcMar>
            <w:vAlign w:val="center"/>
          </w:tcPr>
          <w:p>
            <w:pPr>
              <w:spacing w:after="0" w:line="247" w:lineRule="auto"/>
            </w:pPr>
            <w:r>
              <w:rPr>
                <w:color w:val="26323A"/>
                <w:sz w:val="17"/>
              </w:rPr>
              <w:t>Very high</w:t>
            </w:r>
          </w:p>
        </w:tc>
      </w:tr>
      <w:tr>
        <w:tc>
          <w:tcPr>
            <w:tcW w:type="dxa" w:w="2232"/>
            <w:tcMar>
              <w:top w:w="110" w:type="dxa"/>
              <w:start w:w="125" w:type="dxa"/>
              <w:bottom w:w="110" w:type="dxa"/>
              <w:end w:w="125" w:type="dxa"/>
            </w:tcMar>
            <w:vAlign w:val="center"/>
          </w:tcPr>
          <w:p>
            <w:pPr>
              <w:spacing w:after="0" w:line="247" w:lineRule="auto"/>
            </w:pPr>
            <w:r>
              <w:rPr>
                <w:color w:val="26323A"/>
                <w:sz w:val="17"/>
              </w:rPr>
              <w:t>Enterprise editorial workflow</w:t>
            </w:r>
          </w:p>
        </w:tc>
        <w:tc>
          <w:tcPr>
            <w:tcW w:type="dxa" w:w="6192"/>
            <w:tcMar>
              <w:top w:w="110" w:type="dxa"/>
              <w:start w:w="125" w:type="dxa"/>
              <w:bottom w:w="110" w:type="dxa"/>
              <w:end w:w="125" w:type="dxa"/>
            </w:tcMar>
            <w:vAlign w:val="center"/>
          </w:tcPr>
          <w:p>
            <w:pPr>
              <w:spacing w:after="0" w:line="247" w:lineRule="auto"/>
            </w:pPr>
            <w:r>
              <w:rPr>
                <w:color w:val="26323A"/>
                <w:sz w:val="17"/>
              </w:rPr>
              <w:t>Large institutions need review, approval, revision and translation governance.</w:t>
            </w:r>
          </w:p>
        </w:tc>
        <w:tc>
          <w:tcPr>
            <w:tcW w:type="dxa" w:w="1800"/>
            <w:tcMar>
              <w:top w:w="110" w:type="dxa"/>
              <w:start w:w="125" w:type="dxa"/>
              <w:bottom w:w="110" w:type="dxa"/>
              <w:end w:w="125" w:type="dxa"/>
            </w:tcMar>
            <w:vAlign w:val="center"/>
          </w:tcPr>
          <w:p>
            <w:pPr>
              <w:spacing w:after="0" w:line="247" w:lineRule="auto"/>
            </w:pPr>
            <w:r>
              <w:rPr>
                <w:color w:val="26323A"/>
                <w:sz w:val="17"/>
              </w:rPr>
              <w:t>Very high</w:t>
            </w:r>
          </w:p>
        </w:tc>
      </w:tr>
      <w:tr>
        <w:tc>
          <w:tcPr>
            <w:tcW w:type="dxa" w:w="2232"/>
            <w:tcMar>
              <w:top w:w="110" w:type="dxa"/>
              <w:start w:w="125" w:type="dxa"/>
              <w:bottom w:w="110" w:type="dxa"/>
              <w:end w:w="125" w:type="dxa"/>
            </w:tcMar>
            <w:vAlign w:val="center"/>
          </w:tcPr>
          <w:p>
            <w:pPr>
              <w:spacing w:after="0" w:line="247" w:lineRule="auto"/>
            </w:pPr>
            <w:r>
              <w:rPr>
                <w:color w:val="26323A"/>
                <w:sz w:val="17"/>
              </w:rPr>
              <w:t>Advanced analytics dashboard</w:t>
            </w:r>
          </w:p>
        </w:tc>
        <w:tc>
          <w:tcPr>
            <w:tcW w:type="dxa" w:w="6192"/>
            <w:tcMar>
              <w:top w:w="110" w:type="dxa"/>
              <w:start w:w="125" w:type="dxa"/>
              <w:bottom w:w="110" w:type="dxa"/>
              <w:end w:w="125" w:type="dxa"/>
            </w:tcMar>
            <w:vAlign w:val="center"/>
          </w:tcPr>
          <w:p>
            <w:pPr>
              <w:spacing w:after="0" w:line="247" w:lineRule="auto"/>
            </w:pPr>
            <w:r>
              <w:rPr>
                <w:color w:val="26323A"/>
                <w:sz w:val="17"/>
              </w:rPr>
              <w:t>Current event layer needs institution-facing reporting and journey analysis.</w:t>
            </w:r>
          </w:p>
        </w:tc>
        <w:tc>
          <w:tcPr>
            <w:tcW w:type="dxa" w:w="1800"/>
            <w:tcMar>
              <w:top w:w="110" w:type="dxa"/>
              <w:start w:w="125" w:type="dxa"/>
              <w:bottom w:w="110" w:type="dxa"/>
              <w:end w:w="125" w:type="dxa"/>
            </w:tcMar>
            <w:vAlign w:val="center"/>
          </w:tcPr>
          <w:p>
            <w:pPr>
              <w:spacing w:after="0" w:line="247" w:lineRule="auto"/>
            </w:pPr>
            <w:r>
              <w:rPr>
                <w:color w:val="26323A"/>
                <w:sz w:val="17"/>
              </w:rPr>
              <w:t>High</w:t>
            </w:r>
          </w:p>
        </w:tc>
      </w:tr>
      <w:tr>
        <w:tc>
          <w:tcPr>
            <w:tcW w:type="dxa" w:w="2232"/>
            <w:tcMar>
              <w:top w:w="110" w:type="dxa"/>
              <w:start w:w="125" w:type="dxa"/>
              <w:bottom w:w="110" w:type="dxa"/>
              <w:end w:w="125" w:type="dxa"/>
            </w:tcMar>
            <w:vAlign w:val="center"/>
          </w:tcPr>
          <w:p>
            <w:pPr>
              <w:spacing w:after="0" w:line="247" w:lineRule="auto"/>
            </w:pPr>
            <w:r>
              <w:rPr>
                <w:color w:val="26323A"/>
                <w:sz w:val="17"/>
              </w:rPr>
              <w:t>Access control / commerce</w:t>
            </w:r>
          </w:p>
        </w:tc>
        <w:tc>
          <w:tcPr>
            <w:tcW w:type="dxa" w:w="6192"/>
            <w:tcMar>
              <w:top w:w="110" w:type="dxa"/>
              <w:start w:w="125" w:type="dxa"/>
              <w:bottom w:w="110" w:type="dxa"/>
              <w:end w:w="125" w:type="dxa"/>
            </w:tcMar>
            <w:vAlign w:val="center"/>
          </w:tcPr>
          <w:p>
            <w:pPr>
              <w:spacing w:after="0" w:line="247" w:lineRule="auto"/>
            </w:pPr>
            <w:r>
              <w:rPr>
                <w:color w:val="26323A"/>
                <w:sz w:val="17"/>
              </w:rPr>
              <w:t>Needed for paid guides and ticket-included access.</w:t>
            </w:r>
          </w:p>
        </w:tc>
        <w:tc>
          <w:tcPr>
            <w:tcW w:type="dxa" w:w="1800"/>
            <w:tcMar>
              <w:top w:w="110" w:type="dxa"/>
              <w:start w:w="125" w:type="dxa"/>
              <w:bottom w:w="110" w:type="dxa"/>
              <w:end w:w="125" w:type="dxa"/>
            </w:tcMar>
            <w:vAlign w:val="center"/>
          </w:tcPr>
          <w:p>
            <w:pPr>
              <w:spacing w:after="0" w:line="247" w:lineRule="auto"/>
            </w:pPr>
            <w:r>
              <w:rPr>
                <w:color w:val="26323A"/>
                <w:sz w:val="17"/>
              </w:rPr>
              <w:t>High</w:t>
            </w:r>
          </w:p>
        </w:tc>
      </w:tr>
      <w:tr>
        <w:tc>
          <w:tcPr>
            <w:tcW w:type="dxa" w:w="2232"/>
            <w:tcMar>
              <w:top w:w="110" w:type="dxa"/>
              <w:start w:w="125" w:type="dxa"/>
              <w:bottom w:w="110" w:type="dxa"/>
              <w:end w:w="125" w:type="dxa"/>
            </w:tcMar>
            <w:vAlign w:val="center"/>
          </w:tcPr>
          <w:p>
            <w:pPr>
              <w:spacing w:after="0" w:line="247" w:lineRule="auto"/>
            </w:pPr>
            <w:r>
              <w:rPr>
                <w:color w:val="26323A"/>
                <w:sz w:val="17"/>
              </w:rPr>
              <w:t>AI production tools</w:t>
            </w:r>
          </w:p>
        </w:tc>
        <w:tc>
          <w:tcPr>
            <w:tcW w:type="dxa" w:w="6192"/>
            <w:tcMar>
              <w:top w:w="110" w:type="dxa"/>
              <w:start w:w="125" w:type="dxa"/>
              <w:bottom w:w="110" w:type="dxa"/>
              <w:end w:w="125" w:type="dxa"/>
            </w:tcMar>
            <w:vAlign w:val="center"/>
          </w:tcPr>
          <w:p>
            <w:pPr>
              <w:spacing w:after="0" w:line="247" w:lineRule="auto"/>
            </w:pPr>
            <w:r>
              <w:rPr>
                <w:color w:val="26323A"/>
                <w:sz w:val="17"/>
              </w:rPr>
              <w:t>Can materially lower translation/narration workload.</w:t>
            </w:r>
          </w:p>
        </w:tc>
        <w:tc>
          <w:tcPr>
            <w:tcW w:type="dxa" w:w="1800"/>
            <w:tcMar>
              <w:top w:w="110" w:type="dxa"/>
              <w:start w:w="125" w:type="dxa"/>
              <w:bottom w:w="110" w:type="dxa"/>
              <w:end w:w="125" w:type="dxa"/>
            </w:tcMar>
            <w:vAlign w:val="center"/>
          </w:tcPr>
          <w:p>
            <w:pPr>
              <w:spacing w:after="0" w:line="247" w:lineRule="auto"/>
            </w:pPr>
            <w:r>
              <w:rPr>
                <w:color w:val="26323A"/>
                <w:sz w:val="17"/>
              </w:rPr>
              <w:t>Medium-high</w:t>
            </w:r>
          </w:p>
        </w:tc>
      </w:tr>
      <w:tr>
        <w:tc>
          <w:tcPr>
            <w:tcW w:type="dxa" w:w="2232"/>
            <w:tcMar>
              <w:top w:w="110" w:type="dxa"/>
              <w:start w:w="125" w:type="dxa"/>
              <w:bottom w:w="110" w:type="dxa"/>
              <w:end w:w="125" w:type="dxa"/>
            </w:tcMar>
            <w:vAlign w:val="center"/>
          </w:tcPr>
          <w:p>
            <w:pPr>
              <w:spacing w:after="0" w:line="247" w:lineRule="auto"/>
            </w:pPr>
            <w:r>
              <w:rPr>
                <w:color w:val="26323A"/>
                <w:sz w:val="17"/>
              </w:rPr>
              <w:t>Visitor AI Q&amp;A</w:t>
            </w:r>
          </w:p>
        </w:tc>
        <w:tc>
          <w:tcPr>
            <w:tcW w:type="dxa" w:w="6192"/>
            <w:tcMar>
              <w:top w:w="110" w:type="dxa"/>
              <w:start w:w="125" w:type="dxa"/>
              <w:bottom w:w="110" w:type="dxa"/>
              <w:end w:w="125" w:type="dxa"/>
            </w:tcMar>
            <w:vAlign w:val="center"/>
          </w:tcPr>
          <w:p>
            <w:pPr>
              <w:spacing w:after="0" w:line="247" w:lineRule="auto"/>
            </w:pPr>
            <w:r>
              <w:rPr>
                <w:color w:val="26323A"/>
                <w:sz w:val="17"/>
              </w:rPr>
              <w:t>Premium differentiation, but requires strong governance and knowledge grounding.</w:t>
            </w:r>
          </w:p>
        </w:tc>
        <w:tc>
          <w:tcPr>
            <w:tcW w:type="dxa" w:w="1800"/>
            <w:tcMar>
              <w:top w:w="110" w:type="dxa"/>
              <w:start w:w="125" w:type="dxa"/>
              <w:bottom w:w="110" w:type="dxa"/>
              <w:end w:w="125" w:type="dxa"/>
            </w:tcMar>
            <w:vAlign w:val="center"/>
          </w:tcPr>
          <w:p>
            <w:pPr>
              <w:spacing w:after="0" w:line="247" w:lineRule="auto"/>
            </w:pPr>
            <w:r>
              <w:rPr>
                <w:color w:val="26323A"/>
                <w:sz w:val="17"/>
              </w:rPr>
              <w:t>Medium</w:t>
            </w:r>
          </w:p>
        </w:tc>
      </w:tr>
      <w:tr>
        <w:tc>
          <w:tcPr>
            <w:tcW w:type="dxa" w:w="2232"/>
            <w:tcMar>
              <w:top w:w="110" w:type="dxa"/>
              <w:start w:w="125" w:type="dxa"/>
              <w:bottom w:w="110" w:type="dxa"/>
              <w:end w:w="125" w:type="dxa"/>
            </w:tcMar>
            <w:vAlign w:val="center"/>
          </w:tcPr>
          <w:p>
            <w:pPr>
              <w:spacing w:after="0" w:line="247" w:lineRule="auto"/>
            </w:pPr>
            <w:r>
              <w:rPr>
                <w:color w:val="26323A"/>
                <w:sz w:val="17"/>
              </w:rPr>
              <w:t>Personalized tours</w:t>
            </w:r>
          </w:p>
        </w:tc>
        <w:tc>
          <w:tcPr>
            <w:tcW w:type="dxa" w:w="6192"/>
            <w:tcMar>
              <w:top w:w="110" w:type="dxa"/>
              <w:start w:w="125" w:type="dxa"/>
              <w:bottom w:w="110" w:type="dxa"/>
              <w:end w:w="125" w:type="dxa"/>
            </w:tcMar>
            <w:vAlign w:val="center"/>
          </w:tcPr>
          <w:p>
            <w:pPr>
              <w:spacing w:after="0" w:line="247" w:lineRule="auto"/>
            </w:pPr>
            <w:r>
              <w:rPr>
                <w:color w:val="26323A"/>
                <w:sz w:val="17"/>
              </w:rPr>
              <w:t>High-end feature with strong market validation.</w:t>
            </w:r>
          </w:p>
        </w:tc>
        <w:tc>
          <w:tcPr>
            <w:tcW w:type="dxa" w:w="1800"/>
            <w:tcMar>
              <w:top w:w="110" w:type="dxa"/>
              <w:start w:w="125" w:type="dxa"/>
              <w:bottom w:w="110" w:type="dxa"/>
              <w:end w:w="125" w:type="dxa"/>
            </w:tcMar>
            <w:vAlign w:val="center"/>
          </w:tcPr>
          <w:p>
            <w:pPr>
              <w:spacing w:after="0" w:line="247" w:lineRule="auto"/>
            </w:pPr>
            <w:r>
              <w:rPr>
                <w:color w:val="26323A"/>
                <w:sz w:val="17"/>
              </w:rPr>
              <w:t>Medium</w:t>
            </w:r>
          </w:p>
        </w:tc>
      </w:tr>
      <w:tr>
        <w:tc>
          <w:tcPr>
            <w:tcW w:type="dxa" w:w="2232"/>
            <w:tcMar>
              <w:top w:w="110" w:type="dxa"/>
              <w:start w:w="125" w:type="dxa"/>
              <w:bottom w:w="110" w:type="dxa"/>
              <w:end w:w="125" w:type="dxa"/>
            </w:tcMar>
            <w:vAlign w:val="center"/>
          </w:tcPr>
          <w:p>
            <w:pPr>
              <w:spacing w:after="0" w:line="247" w:lineRule="auto"/>
            </w:pPr>
            <w:r>
              <w:rPr>
                <w:color w:val="26323A"/>
                <w:sz w:val="17"/>
              </w:rPr>
              <w:t>Image recognition</w:t>
            </w:r>
          </w:p>
        </w:tc>
        <w:tc>
          <w:tcPr>
            <w:tcW w:type="dxa" w:w="6192"/>
            <w:tcMar>
              <w:top w:w="110" w:type="dxa"/>
              <w:start w:w="125" w:type="dxa"/>
              <w:bottom w:w="110" w:type="dxa"/>
              <w:end w:w="125" w:type="dxa"/>
            </w:tcMar>
            <w:vAlign w:val="center"/>
          </w:tcPr>
          <w:p>
            <w:pPr>
              <w:spacing w:after="0" w:line="247" w:lineRule="auto"/>
            </w:pPr>
            <w:r>
              <w:rPr>
                <w:color w:val="26323A"/>
                <w:sz w:val="17"/>
              </w:rPr>
              <w:t>Powerful but technically more specialized.</w:t>
            </w:r>
          </w:p>
        </w:tc>
        <w:tc>
          <w:tcPr>
            <w:tcW w:type="dxa" w:w="1800"/>
            <w:tcMar>
              <w:top w:w="110" w:type="dxa"/>
              <w:start w:w="125" w:type="dxa"/>
              <w:bottom w:w="110" w:type="dxa"/>
              <w:end w:w="125" w:type="dxa"/>
            </w:tcMar>
            <w:vAlign w:val="center"/>
          </w:tcPr>
          <w:p>
            <w:pPr>
              <w:spacing w:after="0" w:line="247" w:lineRule="auto"/>
            </w:pPr>
            <w:r>
              <w:rPr>
                <w:color w:val="26323A"/>
                <w:sz w:val="17"/>
              </w:rPr>
              <w:t>Medium</w:t>
            </w:r>
          </w:p>
        </w:tc>
      </w:tr>
      <w:tr>
        <w:tc>
          <w:tcPr>
            <w:tcW w:type="dxa" w:w="2232"/>
            <w:tcMar>
              <w:top w:w="110" w:type="dxa"/>
              <w:start w:w="125" w:type="dxa"/>
              <w:bottom w:w="110" w:type="dxa"/>
              <w:end w:w="125" w:type="dxa"/>
            </w:tcMar>
            <w:vAlign w:val="center"/>
          </w:tcPr>
          <w:p>
            <w:pPr>
              <w:spacing w:after="0" w:line="247" w:lineRule="auto"/>
            </w:pPr>
            <w:r>
              <w:rPr>
                <w:color w:val="26323A"/>
                <w:sz w:val="17"/>
              </w:rPr>
              <w:t>Security/compliance program</w:t>
            </w:r>
          </w:p>
        </w:tc>
        <w:tc>
          <w:tcPr>
            <w:tcW w:type="dxa" w:w="6192"/>
            <w:tcMar>
              <w:top w:w="110" w:type="dxa"/>
              <w:start w:w="125" w:type="dxa"/>
              <w:bottom w:w="110" w:type="dxa"/>
              <w:end w:w="125" w:type="dxa"/>
            </w:tcMar>
            <w:vAlign w:val="center"/>
          </w:tcPr>
          <w:p>
            <w:pPr>
              <w:spacing w:after="0" w:line="247" w:lineRule="auto"/>
            </w:pPr>
            <w:r>
              <w:rPr>
                <w:color w:val="26323A"/>
                <w:sz w:val="17"/>
              </w:rPr>
              <w:t>Large procurement will ask for documentation, backups, incident response and eventually certifications.</w:t>
            </w:r>
          </w:p>
        </w:tc>
        <w:tc>
          <w:tcPr>
            <w:tcW w:type="dxa" w:w="1800"/>
            <w:tcMar>
              <w:top w:w="110" w:type="dxa"/>
              <w:start w:w="125" w:type="dxa"/>
              <w:bottom w:w="110" w:type="dxa"/>
              <w:end w:w="125" w:type="dxa"/>
            </w:tcMar>
            <w:vAlign w:val="center"/>
          </w:tcPr>
          <w:p>
            <w:pPr>
              <w:spacing w:after="0" w:line="247" w:lineRule="auto"/>
            </w:pPr>
            <w:r>
              <w:rPr>
                <w:color w:val="26323A"/>
                <w:sz w:val="17"/>
              </w:rPr>
              <w:t>Very high</w:t>
            </w:r>
          </w:p>
        </w:tc>
      </w:tr>
      <w:tr>
        <w:tc>
          <w:tcPr>
            <w:tcW w:type="dxa" w:w="2232"/>
            <w:tcMar>
              <w:top w:w="110" w:type="dxa"/>
              <w:start w:w="125" w:type="dxa"/>
              <w:bottom w:w="110" w:type="dxa"/>
              <w:end w:w="125" w:type="dxa"/>
            </w:tcMar>
            <w:vAlign w:val="center"/>
          </w:tcPr>
          <w:p>
            <w:pPr>
              <w:spacing w:after="0" w:line="247" w:lineRule="auto"/>
            </w:pPr>
            <w:r>
              <w:rPr>
                <w:color w:val="26323A"/>
                <w:sz w:val="17"/>
              </w:rPr>
              <w:t>Hardware integration</w:t>
            </w:r>
          </w:p>
        </w:tc>
        <w:tc>
          <w:tcPr>
            <w:tcW w:type="dxa" w:w="6192"/>
            <w:tcMar>
              <w:top w:w="110" w:type="dxa"/>
              <w:start w:w="125" w:type="dxa"/>
              <w:bottom w:w="110" w:type="dxa"/>
              <w:end w:w="125" w:type="dxa"/>
            </w:tcMar>
            <w:vAlign w:val="center"/>
          </w:tcPr>
          <w:p>
            <w:pPr>
              <w:spacing w:after="0" w:line="247" w:lineRule="auto"/>
            </w:pPr>
            <w:r>
              <w:rPr>
                <w:color w:val="26323A"/>
                <w:sz w:val="17"/>
              </w:rPr>
              <w:t>Some institutions will require it, but partnership is preferable to manufacturing.</w:t>
            </w:r>
          </w:p>
        </w:tc>
        <w:tc>
          <w:tcPr>
            <w:tcW w:type="dxa" w:w="1800"/>
            <w:tcMar>
              <w:top w:w="110" w:type="dxa"/>
              <w:start w:w="125" w:type="dxa"/>
              <w:bottom w:w="110" w:type="dxa"/>
              <w:end w:w="125" w:type="dxa"/>
            </w:tcMar>
            <w:vAlign w:val="center"/>
          </w:tcPr>
          <w:p>
            <w:pPr>
              <w:spacing w:after="0" w:line="247" w:lineRule="auto"/>
            </w:pPr>
            <w:r>
              <w:rPr>
                <w:color w:val="26323A"/>
                <w:sz w:val="17"/>
              </w:rPr>
              <w:t>Later / partner</w:t>
            </w:r>
          </w:p>
        </w:tc>
      </w:tr>
    </w:tbl>
    <w:p>
      <w:pPr>
        <w:spacing w:after="40"/>
      </w:pPr>
    </w:p>
    <w:p>
      <w:pPr>
        <w:pStyle w:val="Title"/>
      </w:pPr>
      <w:r>
        <w:t>10. Premium market positioning</w:t>
      </w:r>
    </w:p>
    <w:p>
      <w:r>
        <w:t>The recommended commercial position is not "cheaper Smartify" or "WordPress audio guide". It is a premium digital visitor platform for institutions that value ownership, integration, accessibility, privacy and long-term support.</w:t>
      </w:r>
    </w:p>
    <w:tbl>
      <w:tblPr>
        <w:tblW w:type="auto" w:w="0"/>
        <w:jc w:val="center"/>
        <w:tblLook w:firstColumn="1" w:firstRow="1" w:lastColumn="0" w:lastRow="0" w:noHBand="0" w:noVBand="1" w:val="04A0"/>
      </w:tblPr>
      <w:tblGrid>
        <w:gridCol w:w="10052"/>
      </w:tblGrid>
      <w:tr>
        <w:trPr>
          <w:cantSplit w:val="true"/>
        </w:trPr>
        <w:tc>
          <w:tcPr>
            <w:tcW w:type="dxa" w:w="10052"/>
            <w:shd w:fill="EAF3F8"/>
            <w:tcMar>
              <w:top w:w="170" w:type="dxa"/>
              <w:start w:w="200" w:type="dxa"/>
              <w:bottom w:w="170" w:type="dxa"/>
              <w:end w:w="200" w:type="dxa"/>
            </w:tcMar>
          </w:tcPr>
          <w:p>
            <w:pPr>
              <w:spacing w:after="80"/>
            </w:pPr>
            <w:r>
              <w:rPr>
                <w:b/>
                <w:color w:val="173A52"/>
                <w:sz w:val="21"/>
              </w:rPr>
              <w:t>Proposed value proposition</w:t>
            </w:r>
          </w:p>
          <w:p>
            <w:pPr>
              <w:spacing w:after="0" w:line="264" w:lineRule="auto"/>
            </w:pPr>
            <w:r>
              <w:rPr>
                <w:sz w:val="20"/>
              </w:rPr>
              <w:t>MAG integrates with your existing collection and CMS, runs under your institution’s control, and provides a branded digital visitor experience across audio, tours, maps, accessibility and analytics - without requiring a parallel museum database.</w:t>
            </w:r>
          </w:p>
        </w:tc>
      </w:tr>
    </w:tbl>
    <w:p>
      <w:pPr>
        <w:spacing w:after="40"/>
      </w:pPr>
    </w:p>
    <w:p>
      <w:pPr>
        <w:pStyle w:val="Heading1"/>
      </w:pPr>
      <w:r>
        <w:t>10.1 Target customers</w:t>
      </w:r>
    </w:p>
    <w:p>
      <w:pPr>
        <w:pStyle w:val="ListBullet"/>
        <w:spacing w:after="60"/>
      </w:pPr>
      <w:r>
        <w:t>National museums and galleries</w:t>
      </w:r>
    </w:p>
    <w:p>
      <w:pPr>
        <w:pStyle w:val="ListBullet"/>
        <w:spacing w:after="60"/>
      </w:pPr>
      <w:r>
        <w:t>Large city museums</w:t>
      </w:r>
    </w:p>
    <w:p>
      <w:pPr>
        <w:pStyle w:val="ListBullet"/>
        <w:spacing w:after="60"/>
      </w:pPr>
      <w:r>
        <w:t>Museum groups with several sites</w:t>
      </w:r>
    </w:p>
    <w:p>
      <w:pPr>
        <w:pStyle w:val="ListBullet"/>
        <w:spacing w:after="60"/>
      </w:pPr>
      <w:r>
        <w:t>University museums with central IT</w:t>
      </w:r>
    </w:p>
    <w:p>
      <w:pPr>
        <w:pStyle w:val="ListBullet"/>
        <w:spacing w:after="60"/>
      </w:pPr>
      <w:r>
        <w:t>Heritage institutions with formal procurement</w:t>
      </w:r>
    </w:p>
    <w:p>
      <w:pPr>
        <w:pStyle w:val="ListBullet"/>
        <w:spacing w:after="60"/>
      </w:pPr>
      <w:r>
        <w:t>Institutions replacing legacy hardware guides</w:t>
      </w:r>
    </w:p>
    <w:p>
      <w:pPr>
        <w:pStyle w:val="ListBullet"/>
        <w:spacing w:after="60"/>
      </w:pPr>
      <w:r>
        <w:t>Museums with an existing CMS/collections database that they do not want to duplicate</w:t>
      </w:r>
    </w:p>
    <w:p>
      <w:pPr>
        <w:pStyle w:val="Heading1"/>
      </w:pPr>
      <w:r>
        <w:t>10.2 Sales message</w:t>
      </w:r>
    </w:p>
    <w:p>
      <w:pPr>
        <w:pStyle w:val="ListBullet"/>
        <w:spacing w:after="60"/>
      </w:pPr>
      <w:r>
        <w:rPr>
          <w:b/>
        </w:rPr>
        <w:t xml:space="preserve">Not a plugin purchase: </w:t>
      </w:r>
      <w:r>
        <w:t>platform implementation, integration, support and lifecycle.</w:t>
      </w:r>
    </w:p>
    <w:p>
      <w:pPr>
        <w:pStyle w:val="ListBullet"/>
        <w:spacing w:after="60"/>
      </w:pPr>
      <w:r>
        <w:rPr>
          <w:b/>
        </w:rPr>
        <w:t xml:space="preserve">Not a marketplace dependency: </w:t>
      </w:r>
      <w:r>
        <w:t>institutional domain, data and infrastructure remain controlled by the museum.</w:t>
      </w:r>
    </w:p>
    <w:p>
      <w:pPr>
        <w:pStyle w:val="ListBullet"/>
        <w:spacing w:after="60"/>
      </w:pPr>
      <w:r>
        <w:rPr>
          <w:b/>
        </w:rPr>
        <w:t xml:space="preserve">Not a one-off agency build: </w:t>
      </w:r>
      <w:r>
        <w:t>repeatable product core, upgrade path, QA and support.</w:t>
      </w:r>
    </w:p>
    <w:p>
      <w:pPr>
        <w:pStyle w:val="ListBullet"/>
        <w:spacing w:after="60"/>
      </w:pPr>
      <w:r>
        <w:rPr>
          <w:b/>
        </w:rPr>
        <w:t xml:space="preserve">Not AI-first hype: </w:t>
      </w:r>
      <w:r>
        <w:t>offline, workflow, accessibility and governance come before optional AI modules.</w:t>
      </w:r>
    </w:p>
    <w:p>
      <w:pPr>
        <w:pStyle w:val="Title"/>
      </w:pPr>
      <w:r>
        <w:t>11. Pricing and commercial model</w:t>
      </w:r>
    </w:p>
    <w:p>
      <w:r>
        <w:t>A deliberately premium price is compatible with the target market. Public museum software benchmarks already range from low-cost SaaS to five-figure annual plans and much larger bespoke procurement projects. The important point is to package MAG as institutional infrastructure with implementation and support, not as a downloadable plugin license.</w:t>
      </w:r>
    </w:p>
    <w:p>
      <w:pPr>
        <w:pStyle w:val="Heading1"/>
      </w:pPr>
      <w:r>
        <w:t>11.1 Proposed annual licenses</w:t>
      </w:r>
    </w:p>
    <w:tbl>
      <w:tblPr>
        <w:tblStyle w:val="TableGrid"/>
        <w:tblW w:type="auto" w:w="0"/>
        <w:jc w:val="center"/>
        <w:tblLook w:firstColumn="1" w:firstRow="1" w:lastColumn="0" w:lastRow="0" w:noHBand="0" w:noVBand="1" w:val="04A0"/>
      </w:tblPr>
      <w:tblGrid>
        <w:gridCol w:w="3351"/>
        <w:gridCol w:w="3351"/>
        <w:gridCol w:w="3351"/>
      </w:tblGrid>
      <w:tr>
        <w:trPr>
          <w:tblHeader w:val="true"/>
        </w:trPr>
        <w:tc>
          <w:tcPr>
            <w:tcW w:type="dxa" w:w="2232"/>
            <w:shd w:fill="173A52"/>
            <w:tcMar>
              <w:top w:w="110" w:type="dxa"/>
              <w:start w:w="125" w:type="dxa"/>
              <w:bottom w:w="110" w:type="dxa"/>
              <w:end w:w="125" w:type="dxa"/>
            </w:tcMar>
            <w:vAlign w:val="center"/>
          </w:tcPr>
          <w:p>
            <w:r>
              <w:rPr>
                <w:b/>
                <w:color w:val="FFFFFF"/>
                <w:sz w:val="17"/>
              </w:rPr>
              <w:t>Package</w:t>
            </w:r>
          </w:p>
        </w:tc>
        <w:tc>
          <w:tcPr>
            <w:tcW w:type="dxa" w:w="2376"/>
            <w:shd w:fill="173A52"/>
            <w:tcMar>
              <w:top w:w="110" w:type="dxa"/>
              <w:start w:w="125" w:type="dxa"/>
              <w:bottom w:w="110" w:type="dxa"/>
              <w:end w:w="125" w:type="dxa"/>
            </w:tcMar>
            <w:vAlign w:val="center"/>
          </w:tcPr>
          <w:p>
            <w:r>
              <w:rPr>
                <w:b/>
                <w:color w:val="FFFFFF"/>
                <w:sz w:val="17"/>
              </w:rPr>
              <w:t>Indicative annual price</w:t>
            </w:r>
          </w:p>
        </w:tc>
        <w:tc>
          <w:tcPr>
            <w:tcW w:type="dxa" w:w="5760"/>
            <w:shd w:fill="173A52"/>
            <w:tcMar>
              <w:top w:w="110" w:type="dxa"/>
              <w:start w:w="125" w:type="dxa"/>
              <w:bottom w:w="110" w:type="dxa"/>
              <w:end w:w="125" w:type="dxa"/>
            </w:tcMar>
            <w:vAlign w:val="center"/>
          </w:tcPr>
          <w:p>
            <w:r>
              <w:rPr>
                <w:b/>
                <w:color w:val="FFFFFF"/>
                <w:sz w:val="17"/>
              </w:rPr>
              <w:t>Scope</w:t>
            </w:r>
          </w:p>
        </w:tc>
      </w:tr>
      <w:tr>
        <w:tc>
          <w:tcPr>
            <w:tcW w:type="dxa" w:w="2232"/>
            <w:tcMar>
              <w:top w:w="110" w:type="dxa"/>
              <w:start w:w="125" w:type="dxa"/>
              <w:bottom w:w="110" w:type="dxa"/>
              <w:end w:w="125" w:type="dxa"/>
            </w:tcMar>
            <w:vAlign w:val="center"/>
          </w:tcPr>
          <w:p>
            <w:pPr>
              <w:spacing w:after="0" w:line="247" w:lineRule="auto"/>
            </w:pPr>
            <w:r>
              <w:rPr>
                <w:color w:val="26323A"/>
                <w:sz w:val="17"/>
              </w:rPr>
              <w:t>Museum Platform</w:t>
            </w:r>
          </w:p>
        </w:tc>
        <w:tc>
          <w:tcPr>
            <w:tcW w:type="dxa" w:w="2376"/>
            <w:tcMar>
              <w:top w:w="110" w:type="dxa"/>
              <w:start w:w="125" w:type="dxa"/>
              <w:bottom w:w="110" w:type="dxa"/>
              <w:end w:w="125" w:type="dxa"/>
            </w:tcMar>
            <w:vAlign w:val="center"/>
          </w:tcPr>
          <w:p>
            <w:pPr>
              <w:spacing w:after="0" w:line="247" w:lineRule="auto"/>
            </w:pPr>
            <w:r>
              <w:rPr>
                <w:color w:val="26323A"/>
                <w:sz w:val="17"/>
              </w:rPr>
              <w:t>€12,000-18,000</w:t>
            </w:r>
          </w:p>
        </w:tc>
        <w:tc>
          <w:tcPr>
            <w:tcW w:type="dxa" w:w="5760"/>
            <w:tcMar>
              <w:top w:w="110" w:type="dxa"/>
              <w:start w:w="125" w:type="dxa"/>
              <w:bottom w:w="110" w:type="dxa"/>
              <w:end w:w="125" w:type="dxa"/>
            </w:tcMar>
            <w:vAlign w:val="center"/>
          </w:tcPr>
          <w:p>
            <w:pPr>
              <w:spacing w:after="0" w:line="247" w:lineRule="auto"/>
            </w:pPr>
            <w:r>
              <w:rPr>
                <w:color w:val="26323A"/>
                <w:sz w:val="17"/>
              </w:rPr>
              <w:t>One large museum; unlimited guide content; multilingual; maps; analytics; accessibility; updates; standard support.</w:t>
            </w:r>
          </w:p>
        </w:tc>
      </w:tr>
      <w:tr>
        <w:tc>
          <w:tcPr>
            <w:tcW w:type="dxa" w:w="2232"/>
            <w:tcMar>
              <w:top w:w="110" w:type="dxa"/>
              <w:start w:w="125" w:type="dxa"/>
              <w:bottom w:w="110" w:type="dxa"/>
              <w:end w:w="125" w:type="dxa"/>
            </w:tcMar>
            <w:vAlign w:val="center"/>
          </w:tcPr>
          <w:p>
            <w:pPr>
              <w:spacing w:after="0" w:line="247" w:lineRule="auto"/>
            </w:pPr>
            <w:r>
              <w:rPr>
                <w:color w:val="26323A"/>
                <w:sz w:val="17"/>
              </w:rPr>
              <w:t>Enterprise Museum</w:t>
            </w:r>
          </w:p>
        </w:tc>
        <w:tc>
          <w:tcPr>
            <w:tcW w:type="dxa" w:w="2376"/>
            <w:tcMar>
              <w:top w:w="110" w:type="dxa"/>
              <w:start w:w="125" w:type="dxa"/>
              <w:bottom w:w="110" w:type="dxa"/>
              <w:end w:w="125" w:type="dxa"/>
            </w:tcMar>
            <w:vAlign w:val="center"/>
          </w:tcPr>
          <w:p>
            <w:pPr>
              <w:spacing w:after="0" w:line="247" w:lineRule="auto"/>
            </w:pPr>
            <w:r>
              <w:rPr>
                <w:color w:val="26323A"/>
                <w:sz w:val="17"/>
              </w:rPr>
              <w:t>€20,000-35,000</w:t>
            </w:r>
          </w:p>
        </w:tc>
        <w:tc>
          <w:tcPr>
            <w:tcW w:type="dxa" w:w="5760"/>
            <w:tcMar>
              <w:top w:w="110" w:type="dxa"/>
              <w:start w:w="125" w:type="dxa"/>
              <w:bottom w:w="110" w:type="dxa"/>
              <w:end w:w="125" w:type="dxa"/>
            </w:tcMar>
            <w:vAlign w:val="center"/>
          </w:tcPr>
          <w:p>
            <w:pPr>
              <w:spacing w:after="0" w:line="247" w:lineRule="auto"/>
            </w:pPr>
            <w:r>
              <w:rPr>
                <w:color w:val="26323A"/>
                <w:sz w:val="17"/>
              </w:rPr>
              <w:t>Adds offline/PWA, advanced analytics, SSO/API/webhooks, enterprise workflow, staging, custom integrations and priority support.</w:t>
            </w:r>
          </w:p>
        </w:tc>
      </w:tr>
      <w:tr>
        <w:tc>
          <w:tcPr>
            <w:tcW w:type="dxa" w:w="2232"/>
            <w:tcMar>
              <w:top w:w="110" w:type="dxa"/>
              <w:start w:w="125" w:type="dxa"/>
              <w:bottom w:w="110" w:type="dxa"/>
              <w:end w:w="125" w:type="dxa"/>
            </w:tcMar>
            <w:vAlign w:val="center"/>
          </w:tcPr>
          <w:p>
            <w:pPr>
              <w:spacing w:after="0" w:line="247" w:lineRule="auto"/>
            </w:pPr>
            <w:r>
              <w:rPr>
                <w:color w:val="26323A"/>
                <w:sz w:val="17"/>
              </w:rPr>
              <w:t>National Institution / Museum Group</w:t>
            </w:r>
          </w:p>
        </w:tc>
        <w:tc>
          <w:tcPr>
            <w:tcW w:type="dxa" w:w="2376"/>
            <w:tcMar>
              <w:top w:w="110" w:type="dxa"/>
              <w:start w:w="125" w:type="dxa"/>
              <w:bottom w:w="110" w:type="dxa"/>
              <w:end w:w="125" w:type="dxa"/>
            </w:tcMar>
            <w:vAlign w:val="center"/>
          </w:tcPr>
          <w:p>
            <w:pPr>
              <w:spacing w:after="0" w:line="247" w:lineRule="auto"/>
            </w:pPr>
            <w:r>
              <w:rPr>
                <w:color w:val="26323A"/>
                <w:sz w:val="17"/>
              </w:rPr>
              <w:t>€40,000-80,000+</w:t>
            </w:r>
          </w:p>
        </w:tc>
        <w:tc>
          <w:tcPr>
            <w:tcW w:type="dxa" w:w="5760"/>
            <w:tcMar>
              <w:top w:w="110" w:type="dxa"/>
              <w:start w:w="125" w:type="dxa"/>
              <w:bottom w:w="110" w:type="dxa"/>
              <w:end w:w="125" w:type="dxa"/>
            </w:tcMar>
            <w:vAlign w:val="center"/>
          </w:tcPr>
          <w:p>
            <w:pPr>
              <w:spacing w:after="0" w:line="247" w:lineRule="auto"/>
            </w:pPr>
            <w:r>
              <w:rPr>
                <w:color w:val="26323A"/>
                <w:sz w:val="17"/>
              </w:rPr>
              <w:t>Multiple sites/buildings, central administration, shared infrastructure, bespoke integrations and dedicated support.</w:t>
            </w:r>
          </w:p>
        </w:tc>
      </w:tr>
    </w:tbl>
    <w:p>
      <w:pPr>
        <w:spacing w:after="40"/>
      </w:pPr>
    </w:p>
    <w:p>
      <w:pPr>
        <w:pStyle w:val="Heading1"/>
      </w:pPr>
      <w:r>
        <w:t>11.2 Initial implementation</w:t>
      </w:r>
    </w:p>
    <w:tbl>
      <w:tblPr>
        <w:tblStyle w:val="TableGrid"/>
        <w:tblW w:type="auto" w:w="0"/>
        <w:jc w:val="center"/>
        <w:tblLook w:firstColumn="1" w:firstRow="1" w:lastColumn="0" w:lastRow="0" w:noHBand="0" w:noVBand="1" w:val="04A0"/>
      </w:tblPr>
      <w:tblGrid>
        <w:gridCol w:w="5026"/>
        <w:gridCol w:w="5026"/>
      </w:tblGrid>
      <w:tr>
        <w:trPr>
          <w:tblHeader w:val="true"/>
        </w:trPr>
        <w:tc>
          <w:tcPr>
            <w:tcW w:type="dxa" w:w="5472"/>
            <w:shd w:fill="173A52"/>
            <w:tcMar>
              <w:top w:w="110" w:type="dxa"/>
              <w:start w:w="125" w:type="dxa"/>
              <w:bottom w:w="110" w:type="dxa"/>
              <w:end w:w="125" w:type="dxa"/>
            </w:tcMar>
            <w:vAlign w:val="center"/>
          </w:tcPr>
          <w:p>
            <w:r>
              <w:rPr>
                <w:b/>
                <w:color w:val="FFFFFF"/>
                <w:sz w:val="17"/>
              </w:rPr>
              <w:t>Project type</w:t>
            </w:r>
          </w:p>
        </w:tc>
        <w:tc>
          <w:tcPr>
            <w:tcW w:type="dxa" w:w="4896"/>
            <w:shd w:fill="173A52"/>
            <w:tcMar>
              <w:top w:w="110" w:type="dxa"/>
              <w:start w:w="125" w:type="dxa"/>
              <w:bottom w:w="110" w:type="dxa"/>
              <w:end w:w="125" w:type="dxa"/>
            </w:tcMar>
            <w:vAlign w:val="center"/>
          </w:tcPr>
          <w:p>
            <w:r>
              <w:rPr>
                <w:b/>
                <w:color w:val="FFFFFF"/>
                <w:sz w:val="17"/>
              </w:rPr>
              <w:t>Indicative fee</w:t>
            </w:r>
          </w:p>
        </w:tc>
      </w:tr>
      <w:tr>
        <w:tc>
          <w:tcPr>
            <w:tcW w:type="dxa" w:w="5472"/>
            <w:tcMar>
              <w:top w:w="110" w:type="dxa"/>
              <w:start w:w="125" w:type="dxa"/>
              <w:bottom w:w="110" w:type="dxa"/>
              <w:end w:w="125" w:type="dxa"/>
            </w:tcMar>
            <w:vAlign w:val="center"/>
          </w:tcPr>
          <w:p>
            <w:pPr>
              <w:spacing w:after="0" w:line="247" w:lineRule="auto"/>
            </w:pPr>
            <w:r>
              <w:rPr>
                <w:color w:val="26323A"/>
                <w:sz w:val="17"/>
              </w:rPr>
              <w:t>Standard institutional implementation</w:t>
            </w:r>
          </w:p>
        </w:tc>
        <w:tc>
          <w:tcPr>
            <w:tcW w:type="dxa" w:w="4896"/>
            <w:tcMar>
              <w:top w:w="110" w:type="dxa"/>
              <w:start w:w="125" w:type="dxa"/>
              <w:bottom w:w="110" w:type="dxa"/>
              <w:end w:w="125" w:type="dxa"/>
            </w:tcMar>
            <w:vAlign w:val="center"/>
          </w:tcPr>
          <w:p>
            <w:pPr>
              <w:spacing w:after="0" w:line="247" w:lineRule="auto"/>
            </w:pPr>
            <w:r>
              <w:rPr>
                <w:color w:val="26323A"/>
                <w:sz w:val="17"/>
              </w:rPr>
              <w:t>€10,000-30,000</w:t>
            </w:r>
          </w:p>
        </w:tc>
      </w:tr>
      <w:tr>
        <w:tc>
          <w:tcPr>
            <w:tcW w:type="dxa" w:w="5472"/>
            <w:tcMar>
              <w:top w:w="110" w:type="dxa"/>
              <w:start w:w="125" w:type="dxa"/>
              <w:bottom w:w="110" w:type="dxa"/>
              <w:end w:w="125" w:type="dxa"/>
            </w:tcMar>
            <w:vAlign w:val="center"/>
          </w:tcPr>
          <w:p>
            <w:pPr>
              <w:spacing w:after="0" w:line="247" w:lineRule="auto"/>
            </w:pPr>
            <w:r>
              <w:rPr>
                <w:color w:val="26323A"/>
                <w:sz w:val="17"/>
              </w:rPr>
              <w:t>Complex migration / maps / integrations</w:t>
            </w:r>
          </w:p>
        </w:tc>
        <w:tc>
          <w:tcPr>
            <w:tcW w:type="dxa" w:w="4896"/>
            <w:tcMar>
              <w:top w:w="110" w:type="dxa"/>
              <w:start w:w="125" w:type="dxa"/>
              <w:bottom w:w="110" w:type="dxa"/>
              <w:end w:w="125" w:type="dxa"/>
            </w:tcMar>
            <w:vAlign w:val="center"/>
          </w:tcPr>
          <w:p>
            <w:pPr>
              <w:spacing w:after="0" w:line="247" w:lineRule="auto"/>
            </w:pPr>
            <w:r>
              <w:rPr>
                <w:color w:val="26323A"/>
                <w:sz w:val="17"/>
              </w:rPr>
              <w:t>€30,000-70,000+</w:t>
            </w:r>
          </w:p>
        </w:tc>
      </w:tr>
      <w:tr>
        <w:tc>
          <w:tcPr>
            <w:tcW w:type="dxa" w:w="5472"/>
            <w:tcMar>
              <w:top w:w="110" w:type="dxa"/>
              <w:start w:w="125" w:type="dxa"/>
              <w:bottom w:w="110" w:type="dxa"/>
              <w:end w:w="125" w:type="dxa"/>
            </w:tcMar>
            <w:vAlign w:val="center"/>
          </w:tcPr>
          <w:p>
            <w:pPr>
              <w:spacing w:after="0" w:line="247" w:lineRule="auto"/>
            </w:pPr>
            <w:r>
              <w:rPr>
                <w:color w:val="26323A"/>
                <w:sz w:val="17"/>
              </w:rPr>
              <w:t>Custom engineering day rate</w:t>
            </w:r>
          </w:p>
        </w:tc>
        <w:tc>
          <w:tcPr>
            <w:tcW w:type="dxa" w:w="4896"/>
            <w:tcMar>
              <w:top w:w="110" w:type="dxa"/>
              <w:start w:w="125" w:type="dxa"/>
              <w:bottom w:w="110" w:type="dxa"/>
              <w:end w:w="125" w:type="dxa"/>
            </w:tcMar>
            <w:vAlign w:val="center"/>
          </w:tcPr>
          <w:p>
            <w:pPr>
              <w:spacing w:after="0" w:line="247" w:lineRule="auto"/>
            </w:pPr>
            <w:r>
              <w:rPr>
                <w:color w:val="26323A"/>
                <w:sz w:val="17"/>
              </w:rPr>
              <w:t>€800-1,200/day</w:t>
            </w:r>
          </w:p>
        </w:tc>
      </w:tr>
      <w:tr>
        <w:tc>
          <w:tcPr>
            <w:tcW w:type="dxa" w:w="5472"/>
            <w:tcMar>
              <w:top w:w="110" w:type="dxa"/>
              <w:start w:w="125" w:type="dxa"/>
              <w:bottom w:w="110" w:type="dxa"/>
              <w:end w:w="125" w:type="dxa"/>
            </w:tcMar>
            <w:vAlign w:val="center"/>
          </w:tcPr>
          <w:p>
            <w:pPr>
              <w:spacing w:after="0" w:line="247" w:lineRule="auto"/>
            </w:pPr>
            <w:r>
              <w:rPr>
                <w:color w:val="26323A"/>
                <w:sz w:val="17"/>
              </w:rPr>
              <w:t>Premium SLA add-on</w:t>
            </w:r>
          </w:p>
        </w:tc>
        <w:tc>
          <w:tcPr>
            <w:tcW w:type="dxa" w:w="4896"/>
            <w:tcMar>
              <w:top w:w="110" w:type="dxa"/>
              <w:start w:w="125" w:type="dxa"/>
              <w:bottom w:w="110" w:type="dxa"/>
              <w:end w:w="125" w:type="dxa"/>
            </w:tcMar>
            <w:vAlign w:val="center"/>
          </w:tcPr>
          <w:p>
            <w:pPr>
              <w:spacing w:after="0" w:line="247" w:lineRule="auto"/>
            </w:pPr>
            <w:r>
              <w:rPr>
                <w:color w:val="26323A"/>
                <w:sz w:val="17"/>
              </w:rPr>
              <w:t>€6,000-20,000/year depending on response targets and scope</w:t>
            </w:r>
          </w:p>
        </w:tc>
      </w:tr>
    </w:tbl>
    <w:p>
      <w:pPr>
        <w:spacing w:after="40"/>
      </w:pPr>
    </w:p>
    <w:p>
      <w:pPr>
        <w:pStyle w:val="Heading1"/>
      </w:pPr>
      <w:r>
        <w:t>11.3 AI modules</w:t>
      </w:r>
    </w:p>
    <w:p>
      <w:r>
        <w:t>AI should be an add-on because inference, TTS and translation have variable operating costs and governance requirements.</w:t>
      </w:r>
    </w:p>
    <w:tbl>
      <w:tblPr>
        <w:tblStyle w:val="TableGrid"/>
        <w:tblW w:type="auto" w:w="0"/>
        <w:jc w:val="center"/>
        <w:tblLook w:firstColumn="1" w:firstRow="1" w:lastColumn="0" w:lastRow="0" w:noHBand="0" w:noVBand="1" w:val="04A0"/>
      </w:tblPr>
      <w:tblGrid>
        <w:gridCol w:w="5026"/>
        <w:gridCol w:w="5026"/>
      </w:tblGrid>
      <w:tr>
        <w:trPr>
          <w:tblHeader w:val="true"/>
        </w:trPr>
        <w:tc>
          <w:tcPr>
            <w:tcW w:type="dxa" w:w="5472"/>
            <w:shd w:fill="173A52"/>
            <w:tcMar>
              <w:top w:w="110" w:type="dxa"/>
              <w:start w:w="125" w:type="dxa"/>
              <w:bottom w:w="110" w:type="dxa"/>
              <w:end w:w="125" w:type="dxa"/>
            </w:tcMar>
            <w:vAlign w:val="center"/>
          </w:tcPr>
          <w:p>
            <w:r>
              <w:rPr>
                <w:b/>
                <w:color w:val="FFFFFF"/>
                <w:sz w:val="17"/>
              </w:rPr>
              <w:t>Module</w:t>
            </w:r>
          </w:p>
        </w:tc>
        <w:tc>
          <w:tcPr>
            <w:tcW w:type="dxa" w:w="4896"/>
            <w:shd w:fill="173A52"/>
            <w:tcMar>
              <w:top w:w="110" w:type="dxa"/>
              <w:start w:w="125" w:type="dxa"/>
              <w:bottom w:w="110" w:type="dxa"/>
              <w:end w:w="125" w:type="dxa"/>
            </w:tcMar>
            <w:vAlign w:val="center"/>
          </w:tcPr>
          <w:p>
            <w:r>
              <w:rPr>
                <w:b/>
                <w:color w:val="FFFFFF"/>
                <w:sz w:val="17"/>
              </w:rPr>
              <w:t>Illustrative pricing</w:t>
            </w:r>
          </w:p>
        </w:tc>
      </w:tr>
      <w:tr>
        <w:tc>
          <w:tcPr>
            <w:tcW w:type="dxa" w:w="5472"/>
            <w:tcMar>
              <w:top w:w="110" w:type="dxa"/>
              <w:start w:w="125" w:type="dxa"/>
              <w:bottom w:w="110" w:type="dxa"/>
              <w:end w:w="125" w:type="dxa"/>
            </w:tcMar>
            <w:vAlign w:val="center"/>
          </w:tcPr>
          <w:p>
            <w:pPr>
              <w:spacing w:after="0" w:line="247" w:lineRule="auto"/>
            </w:pPr>
            <w:r>
              <w:rPr>
                <w:color w:val="26323A"/>
                <w:sz w:val="17"/>
              </w:rPr>
              <w:t>AI Curator Tools</w:t>
            </w:r>
          </w:p>
        </w:tc>
        <w:tc>
          <w:tcPr>
            <w:tcW w:type="dxa" w:w="4896"/>
            <w:tcMar>
              <w:top w:w="110" w:type="dxa"/>
              <w:start w:w="125" w:type="dxa"/>
              <w:bottom w:w="110" w:type="dxa"/>
              <w:end w:w="125" w:type="dxa"/>
            </w:tcMar>
            <w:vAlign w:val="center"/>
          </w:tcPr>
          <w:p>
            <w:pPr>
              <w:spacing w:after="0" w:line="247" w:lineRule="auto"/>
            </w:pPr>
            <w:r>
              <w:rPr>
                <w:color w:val="26323A"/>
                <w:sz w:val="17"/>
              </w:rPr>
              <w:t>+€5,000/year plus usage allowance</w:t>
            </w:r>
          </w:p>
        </w:tc>
      </w:tr>
      <w:tr>
        <w:tc>
          <w:tcPr>
            <w:tcW w:type="dxa" w:w="5472"/>
            <w:tcMar>
              <w:top w:w="110" w:type="dxa"/>
              <w:start w:w="125" w:type="dxa"/>
              <w:bottom w:w="110" w:type="dxa"/>
              <w:end w:w="125" w:type="dxa"/>
            </w:tcMar>
            <w:vAlign w:val="center"/>
          </w:tcPr>
          <w:p>
            <w:pPr>
              <w:spacing w:after="0" w:line="247" w:lineRule="auto"/>
            </w:pPr>
            <w:r>
              <w:rPr>
                <w:color w:val="26323A"/>
                <w:sz w:val="17"/>
              </w:rPr>
              <w:t>Visitor AI / Ask the Museum</w:t>
            </w:r>
          </w:p>
        </w:tc>
        <w:tc>
          <w:tcPr>
            <w:tcW w:type="dxa" w:w="4896"/>
            <w:tcMar>
              <w:top w:w="110" w:type="dxa"/>
              <w:start w:w="125" w:type="dxa"/>
              <w:bottom w:w="110" w:type="dxa"/>
              <w:end w:w="125" w:type="dxa"/>
            </w:tcMar>
            <w:vAlign w:val="center"/>
          </w:tcPr>
          <w:p>
            <w:pPr>
              <w:spacing w:after="0" w:line="247" w:lineRule="auto"/>
            </w:pPr>
            <w:r>
              <w:rPr>
                <w:color w:val="26323A"/>
                <w:sz w:val="17"/>
              </w:rPr>
              <w:t>+€8,000-15,000/year plus usage allowance</w:t>
            </w:r>
          </w:p>
        </w:tc>
      </w:tr>
      <w:tr>
        <w:tc>
          <w:tcPr>
            <w:tcW w:type="dxa" w:w="5472"/>
            <w:tcMar>
              <w:top w:w="110" w:type="dxa"/>
              <w:start w:w="125" w:type="dxa"/>
              <w:bottom w:w="110" w:type="dxa"/>
              <w:end w:w="125" w:type="dxa"/>
            </w:tcMar>
            <w:vAlign w:val="center"/>
          </w:tcPr>
          <w:p>
            <w:pPr>
              <w:spacing w:after="0" w:line="247" w:lineRule="auto"/>
            </w:pPr>
            <w:r>
              <w:rPr>
                <w:color w:val="26323A"/>
                <w:sz w:val="17"/>
              </w:rPr>
              <w:t>High-volume AI</w:t>
            </w:r>
          </w:p>
        </w:tc>
        <w:tc>
          <w:tcPr>
            <w:tcW w:type="dxa" w:w="4896"/>
            <w:tcMar>
              <w:top w:w="110" w:type="dxa"/>
              <w:start w:w="125" w:type="dxa"/>
              <w:bottom w:w="110" w:type="dxa"/>
              <w:end w:w="125" w:type="dxa"/>
            </w:tcMar>
            <w:vAlign w:val="center"/>
          </w:tcPr>
          <w:p>
            <w:pPr>
              <w:spacing w:after="0" w:line="247" w:lineRule="auto"/>
            </w:pPr>
            <w:r>
              <w:rPr>
                <w:color w:val="26323A"/>
                <w:sz w:val="17"/>
              </w:rPr>
              <w:t>Custom enterprise commitment and usage schedule</w:t>
            </w:r>
          </w:p>
        </w:tc>
      </w:tr>
    </w:tbl>
    <w:p>
      <w:pPr>
        <w:spacing w:after="40"/>
      </w:pPr>
    </w:p>
    <w:p>
      <w:pPr>
        <w:pStyle w:val="Heading1"/>
      </w:pPr>
      <w:r>
        <w:t>11.4 Procurement-friendly multi-year package</w:t>
      </w:r>
    </w:p>
    <w:p>
      <w:r>
        <w:t>For public institutions, a three-year package can be easier to procure than a small monthly subscription. Example: €20,000 implementation + €65,000 three-year platform license/support = €85,000 total contract value, with clearly defined deliverables, upgrade entitlement and SLA.</w:t>
      </w:r>
    </w:p>
    <w:tbl>
      <w:tblPr>
        <w:tblW w:type="auto" w:w="0"/>
        <w:jc w:val="center"/>
        <w:tblLook w:firstColumn="1" w:firstRow="1" w:lastColumn="0" w:lastRow="0" w:noHBand="0" w:noVBand="1" w:val="04A0"/>
      </w:tblPr>
      <w:tblGrid>
        <w:gridCol w:w="10052"/>
      </w:tblGrid>
      <w:tr>
        <w:trPr>
          <w:cantSplit w:val="true"/>
        </w:trPr>
        <w:tc>
          <w:tcPr>
            <w:tcW w:type="dxa" w:w="10052"/>
            <w:shd w:fill="F5E9C8"/>
            <w:tcMar>
              <w:top w:w="170" w:type="dxa"/>
              <w:start w:w="200" w:type="dxa"/>
              <w:bottom w:w="170" w:type="dxa"/>
              <w:end w:w="200" w:type="dxa"/>
            </w:tcMar>
          </w:tcPr>
          <w:p>
            <w:pPr>
              <w:spacing w:after="80"/>
            </w:pPr>
            <w:r>
              <w:rPr>
                <w:b/>
                <w:color w:val="173A52"/>
                <w:sz w:val="21"/>
              </w:rPr>
              <w:t>Pricing principle</w:t>
            </w:r>
          </w:p>
          <w:p>
            <w:pPr>
              <w:spacing w:after="0" w:line="264" w:lineRule="auto"/>
            </w:pPr>
            <w:r>
              <w:rPr>
                <w:sz w:val="20"/>
              </w:rPr>
              <w:t>A low price can undermine enterprise credibility. The sales conversation should be about integration, continuity, accessibility, security, support, governance and data ownership - not about the cheapest monthly subscription.</w:t>
            </w:r>
          </w:p>
        </w:tc>
      </w:tr>
    </w:tbl>
    <w:p>
      <w:pPr>
        <w:spacing w:after="40"/>
      </w:pPr>
    </w:p>
    <w:p>
      <w:pPr>
        <w:pStyle w:val="Title"/>
      </w:pPr>
      <w:r>
        <w:t>12. Product roadmap</w:t>
      </w:r>
    </w:p>
    <w:p>
      <w:pPr>
        <w:pStyle w:val="Heading1"/>
      </w:pPr>
      <w:r>
        <w:t>12.1 v1.13 - Museum structure and multilingual foundation</w:t>
      </w:r>
    </w:p>
    <w:p>
      <w:pPr>
        <w:pStyle w:val="ListBullet"/>
        <w:spacing w:after="60"/>
      </w:pPr>
      <w:r>
        <w:t>Floor entity behavior and floor switcher</w:t>
      </w:r>
    </w:p>
    <w:p>
      <w:pPr>
        <w:pStyle w:val="ListBullet"/>
        <w:spacing w:after="60"/>
      </w:pPr>
      <w:r>
        <w:t>floor_label and floor_order</w:t>
      </w:r>
    </w:p>
    <w:p>
      <w:pPr>
        <w:pStyle w:val="ListBullet"/>
        <w:spacing w:after="60"/>
      </w:pPr>
      <w:r>
        <w:t>Parent-floor map inheritance</w:t>
      </w:r>
    </w:p>
    <w:p>
      <w:pPr>
        <w:pStyle w:val="ListBullet"/>
        <w:spacing w:after="60"/>
      </w:pPr>
      <w:r>
        <w:t>Tour transitions between floors</w:t>
      </w:r>
    </w:p>
    <w:p>
      <w:pPr>
        <w:pStyle w:val="ListBullet"/>
        <w:spacing w:after="60"/>
      </w:pPr>
      <w:r>
        <w:t>Language Provider abstraction</w:t>
      </w:r>
    </w:p>
    <w:p>
      <w:pPr>
        <w:pStyle w:val="ListBullet"/>
        <w:spacing w:after="60"/>
      </w:pPr>
      <w:r>
        <w:t>Single-language provider</w:t>
      </w:r>
    </w:p>
    <w:p>
      <w:pPr>
        <w:pStyle w:val="ListBullet"/>
        <w:spacing w:after="60"/>
      </w:pPr>
      <w:r>
        <w:t>WPML adapter</w:t>
      </w:r>
    </w:p>
    <w:p>
      <w:pPr>
        <w:pStyle w:val="ListBullet"/>
        <w:spacing w:after="60"/>
      </w:pPr>
      <w:r>
        <w:t>Polylang adapter</w:t>
      </w:r>
    </w:p>
    <w:p>
      <w:pPr>
        <w:pStyle w:val="ListBullet"/>
        <w:spacing w:after="60"/>
      </w:pPr>
      <w:r>
        <w:t>Auto-detect and conflict handling</w:t>
      </w:r>
    </w:p>
    <w:p>
      <w:pPr>
        <w:pStyle w:val="Heading1"/>
      </w:pPr>
      <w:r>
        <w:t>12.2 v1.14 - PWA and offline</w:t>
      </w:r>
    </w:p>
    <w:p>
      <w:pPr>
        <w:pStyle w:val="ListBullet"/>
        <w:spacing w:after="60"/>
      </w:pPr>
      <w:r>
        <w:t>Web App Manifest</w:t>
      </w:r>
    </w:p>
    <w:p>
      <w:pPr>
        <w:pStyle w:val="ListBullet"/>
        <w:spacing w:after="60"/>
      </w:pPr>
      <w:r>
        <w:t>Service worker</w:t>
      </w:r>
    </w:p>
    <w:p>
      <w:pPr>
        <w:pStyle w:val="ListBullet"/>
        <w:spacing w:after="60"/>
      </w:pPr>
      <w:r>
        <w:t>Offline application shell</w:t>
      </w:r>
    </w:p>
    <w:p>
      <w:pPr>
        <w:pStyle w:val="ListBullet"/>
        <w:spacing w:after="60"/>
      </w:pPr>
      <w:r>
        <w:t>Cache images and SVG maps</w:t>
      </w:r>
    </w:p>
    <w:p>
      <w:pPr>
        <w:pStyle w:val="ListBullet"/>
        <w:spacing w:after="60"/>
      </w:pPr>
      <w:r>
        <w:t>Download tour for offline use</w:t>
      </w:r>
    </w:p>
    <w:p>
      <w:pPr>
        <w:pStyle w:val="ListBullet"/>
        <w:spacing w:after="60"/>
      </w:pPr>
      <w:r>
        <w:t>Download audio bundle</w:t>
      </w:r>
    </w:p>
    <w:p>
      <w:pPr>
        <w:pStyle w:val="ListBullet"/>
        <w:spacing w:after="60"/>
      </w:pPr>
      <w:r>
        <w:t>Storage estimate and remove download</w:t>
      </w:r>
    </w:p>
    <w:p>
      <w:pPr>
        <w:pStyle w:val="ListBullet"/>
        <w:spacing w:after="60"/>
      </w:pPr>
      <w:r>
        <w:t>Update detection</w:t>
      </w:r>
    </w:p>
    <w:p>
      <w:pPr>
        <w:pStyle w:val="ListBullet"/>
        <w:spacing w:after="60"/>
      </w:pPr>
      <w:r>
        <w:t>Offline fallback screens</w:t>
      </w:r>
    </w:p>
    <w:p>
      <w:pPr>
        <w:pStyle w:val="Heading1"/>
      </w:pPr>
      <w:r>
        <w:t>12.3 v1.15 - Enterprise publishing workflow</w:t>
      </w:r>
    </w:p>
    <w:p>
      <w:pPr>
        <w:pStyle w:val="ListBullet"/>
        <w:spacing w:after="60"/>
      </w:pPr>
      <w:r>
        <w:t>Guide Administrator, Curator, Editor, Translator, Reviewer roles</w:t>
      </w:r>
    </w:p>
    <w:p>
      <w:pPr>
        <w:pStyle w:val="ListBullet"/>
        <w:spacing w:after="60"/>
      </w:pPr>
      <w:r>
        <w:t>Draft -&gt; Review -&gt; Approved -&gt; Published workflow</w:t>
      </w:r>
    </w:p>
    <w:p>
      <w:pPr>
        <w:pStyle w:val="ListBullet"/>
        <w:spacing w:after="60"/>
      </w:pPr>
      <w:r>
        <w:t>Revision history and approval trail</w:t>
      </w:r>
    </w:p>
    <w:p>
      <w:pPr>
        <w:pStyle w:val="ListBullet"/>
        <w:spacing w:after="60"/>
      </w:pPr>
      <w:r>
        <w:t>Scheduled publishing and expiry</w:t>
      </w:r>
    </w:p>
    <w:p>
      <w:pPr>
        <w:pStyle w:val="ListBullet"/>
        <w:spacing w:after="60"/>
      </w:pPr>
      <w:r>
        <w:t>Bulk actions</w:t>
      </w:r>
    </w:p>
    <w:p>
      <w:pPr>
        <w:pStyle w:val="ListBullet"/>
        <w:spacing w:after="60"/>
      </w:pPr>
      <w:r>
        <w:t>Broken media checker</w:t>
      </w:r>
    </w:p>
    <w:p>
      <w:pPr>
        <w:pStyle w:val="ListBullet"/>
        <w:spacing w:after="60"/>
      </w:pPr>
      <w:r>
        <w:t>Translation completeness</w:t>
      </w:r>
    </w:p>
    <w:p>
      <w:pPr>
        <w:pStyle w:val="ListBullet"/>
        <w:spacing w:after="60"/>
      </w:pPr>
      <w:r>
        <w:t>Central Tour Health dashboard</w:t>
      </w:r>
    </w:p>
    <w:p>
      <w:pPr>
        <w:pStyle w:val="ListBullet"/>
        <w:spacing w:after="60"/>
      </w:pPr>
      <w:r>
        <w:t>Publishing report</w:t>
      </w:r>
    </w:p>
    <w:p>
      <w:pPr>
        <w:pStyle w:val="Heading1"/>
      </w:pPr>
      <w:r>
        <w:t>12.4 v1.16 - Advanced analytics</w:t>
      </w:r>
    </w:p>
    <w:p>
      <w:pPr>
        <w:pStyle w:val="ListBullet"/>
        <w:spacing w:after="60"/>
      </w:pPr>
      <w:r>
        <w:t>Sessions and unique guide sessions</w:t>
      </w:r>
    </w:p>
    <w:p>
      <w:pPr>
        <w:pStyle w:val="ListBullet"/>
        <w:spacing w:after="60"/>
      </w:pPr>
      <w:r>
        <w:t>Tour start/completion funnel</w:t>
      </w:r>
    </w:p>
    <w:p>
      <w:pPr>
        <w:pStyle w:val="ListBullet"/>
        <w:spacing w:after="60"/>
      </w:pPr>
      <w:r>
        <w:t>Average tour duration</w:t>
      </w:r>
    </w:p>
    <w:p>
      <w:pPr>
        <w:pStyle w:val="ListBullet"/>
        <w:spacing w:after="60"/>
      </w:pPr>
      <w:r>
        <w:t>Audio completion rate</w:t>
      </w:r>
    </w:p>
    <w:p>
      <w:pPr>
        <w:pStyle w:val="ListBullet"/>
        <w:spacing w:after="60"/>
      </w:pPr>
      <w:r>
        <w:t>Popular and skipped objects</w:t>
      </w:r>
    </w:p>
    <w:p>
      <w:pPr>
        <w:pStyle w:val="ListBullet"/>
        <w:spacing w:after="60"/>
      </w:pPr>
      <w:r>
        <w:t>Language distribution</w:t>
      </w:r>
    </w:p>
    <w:p>
      <w:pPr>
        <w:pStyle w:val="ListBullet"/>
        <w:spacing w:after="60"/>
      </w:pPr>
      <w:r>
        <w:t>QR vs NFC vs manual entry</w:t>
      </w:r>
    </w:p>
    <w:p>
      <w:pPr>
        <w:pStyle w:val="ListBullet"/>
        <w:spacing w:after="60"/>
      </w:pPr>
      <w:r>
        <w:t>Floor/space engagement</w:t>
      </w:r>
    </w:p>
    <w:p>
      <w:pPr>
        <w:pStyle w:val="ListBullet"/>
        <w:spacing w:after="60"/>
      </w:pPr>
      <w:r>
        <w:t>Story engagement</w:t>
      </w:r>
    </w:p>
    <w:p>
      <w:pPr>
        <w:pStyle w:val="ListBullet"/>
        <w:spacing w:after="60"/>
      </w:pPr>
      <w:r>
        <w:t>Save/favorite behavior</w:t>
      </w:r>
    </w:p>
    <w:p>
      <w:pPr>
        <w:pStyle w:val="ListBullet"/>
        <w:spacing w:after="60"/>
      </w:pPr>
      <w:r>
        <w:t>Search failures</w:t>
      </w:r>
    </w:p>
    <w:p>
      <w:pPr>
        <w:pStyle w:val="ListBullet"/>
        <w:spacing w:after="60"/>
      </w:pPr>
      <w:r>
        <w:t>Anonymous visitor journey sequences without precise location storage</w:t>
      </w:r>
    </w:p>
    <w:p>
      <w:pPr>
        <w:pStyle w:val="Heading1"/>
      </w:pPr>
      <w:r>
        <w:t>12.5 v1.20 - Commerce and access control</w:t>
      </w:r>
    </w:p>
    <w:p>
      <w:pPr>
        <w:pStyle w:val="ListBullet"/>
        <w:spacing w:after="60"/>
      </w:pPr>
      <w:r>
        <w:t>Free / ticket-included / access-code / paid-guide modes</w:t>
      </w:r>
    </w:p>
    <w:p>
      <w:pPr>
        <w:pStyle w:val="ListBullet"/>
        <w:spacing w:after="60"/>
      </w:pPr>
      <w:r>
        <w:t>Group passes</w:t>
      </w:r>
    </w:p>
    <w:p>
      <w:pPr>
        <w:pStyle w:val="ListBullet"/>
        <w:spacing w:after="60"/>
      </w:pPr>
      <w:r>
        <w:t>Membership-included access</w:t>
      </w:r>
    </w:p>
    <w:p>
      <w:pPr>
        <w:pStyle w:val="ListBullet"/>
        <w:spacing w:after="60"/>
      </w:pPr>
      <w:r>
        <w:t>WooCommerce integration</w:t>
      </w:r>
    </w:p>
    <w:p>
      <w:pPr>
        <w:pStyle w:val="ListBullet"/>
        <w:spacing w:after="60"/>
      </w:pPr>
      <w:r>
        <w:t>Guide pass purchase -&gt; token/QR unlock</w:t>
      </w:r>
    </w:p>
    <w:p>
      <w:pPr>
        <w:pStyle w:val="ListBullet"/>
        <w:spacing w:after="60"/>
      </w:pPr>
      <w:r>
        <w:t>Future ticketing API adapters</w:t>
      </w:r>
    </w:p>
    <w:p>
      <w:pPr>
        <w:pStyle w:val="Heading1"/>
      </w:pPr>
      <w:r>
        <w:t>12.6 v1.3x - AI curator tools</w:t>
      </w:r>
    </w:p>
    <w:p>
      <w:pPr>
        <w:pStyle w:val="ListBullet"/>
        <w:spacing w:after="60"/>
      </w:pPr>
      <w:r>
        <w:t>Draft translation</w:t>
      </w:r>
    </w:p>
    <w:p>
      <w:pPr>
        <w:pStyle w:val="ListBullet"/>
        <w:spacing w:after="60"/>
      </w:pPr>
      <w:r>
        <w:t>Text-to-speech generation</w:t>
      </w:r>
    </w:p>
    <w:p>
      <w:pPr>
        <w:pStyle w:val="ListBullet"/>
        <w:spacing w:after="60"/>
      </w:pPr>
      <w:r>
        <w:t>Short/medium/long audio script variants</w:t>
      </w:r>
    </w:p>
    <w:p>
      <w:pPr>
        <w:pStyle w:val="ListBullet"/>
        <w:spacing w:after="60"/>
      </w:pPr>
      <w:r>
        <w:t>Kids version draft</w:t>
      </w:r>
    </w:p>
    <w:p>
      <w:pPr>
        <w:pStyle w:val="ListBullet"/>
        <w:spacing w:after="60"/>
      </w:pPr>
      <w:r>
        <w:t>Accessible description draft</w:t>
      </w:r>
    </w:p>
    <w:p>
      <w:pPr>
        <w:pStyle w:val="ListBullet"/>
        <w:spacing w:after="60"/>
      </w:pPr>
      <w:r>
        <w:t>Metadata/tag suggestions</w:t>
      </w:r>
    </w:p>
    <w:p>
      <w:pPr>
        <w:pStyle w:val="ListBullet"/>
        <w:spacing w:after="60"/>
      </w:pPr>
      <w:r>
        <w:t>Pronunciation dictionary</w:t>
      </w:r>
    </w:p>
    <w:p>
      <w:pPr>
        <w:pStyle w:val="ListBullet"/>
        <w:spacing w:after="60"/>
      </w:pPr>
      <w:r>
        <w:t>Mandatory human approval workflow</w:t>
      </w:r>
    </w:p>
    <w:p>
      <w:pPr>
        <w:pStyle w:val="Heading1"/>
      </w:pPr>
      <w:r>
        <w:t>12.7 v1.4x - Visitor AI</w:t>
      </w:r>
    </w:p>
    <w:p>
      <w:r>
        <w:t>Introduce "Ask the Museum": visitor questions answered only from museum-approved objects, stories, curator notes and permitted catalogue data. Use retrieval-augmented generation with explicit source boundaries, auditability and content governance.</w:t>
      </w:r>
    </w:p>
    <w:p>
      <w:pPr>
        <w:pStyle w:val="Heading1"/>
      </w:pPr>
      <w:r>
        <w:t>12.8 v1.5x - Personalized Tour Engine</w:t>
      </w:r>
    </w:p>
    <w:p>
      <w:pPr>
        <w:pStyle w:val="ListBullet"/>
        <w:spacing w:after="60"/>
      </w:pPr>
      <w:r>
        <w:t>Time available: 15 / 30 / 60+ minutes</w:t>
      </w:r>
    </w:p>
    <w:p>
      <w:pPr>
        <w:pStyle w:val="ListBullet"/>
        <w:spacing w:after="60"/>
      </w:pPr>
      <w:r>
        <w:t>Interests and themes</w:t>
      </w:r>
    </w:p>
    <w:p>
      <w:pPr>
        <w:pStyle w:val="ListBullet"/>
        <w:spacing w:after="60"/>
      </w:pPr>
      <w:r>
        <w:t>Family / kids context</w:t>
      </w:r>
    </w:p>
    <w:p>
      <w:pPr>
        <w:pStyle w:val="ListBullet"/>
        <w:spacing w:after="60"/>
      </w:pPr>
      <w:r>
        <w:t>Accessibility preference</w:t>
      </w:r>
    </w:p>
    <w:p>
      <w:pPr>
        <w:pStyle w:val="ListBullet"/>
        <w:spacing w:after="60"/>
      </w:pPr>
      <w:r>
        <w:t>Spatial optimization by floor/room</w:t>
      </w:r>
    </w:p>
    <w:p>
      <w:pPr>
        <w:pStyle w:val="ListBullet"/>
        <w:spacing w:after="60"/>
      </w:pPr>
      <w:r>
        <w:t>Audio duration and curator priority</w:t>
      </w:r>
    </w:p>
    <w:p>
      <w:pPr>
        <w:pStyle w:val="ListBullet"/>
        <w:spacing w:after="60"/>
      </w:pPr>
      <w:r>
        <w:t>Popularity signals</w:t>
      </w:r>
    </w:p>
    <w:p>
      <w:pPr>
        <w:pStyle w:val="ListBullet"/>
        <w:spacing w:after="60"/>
      </w:pPr>
      <w:r>
        <w:t>Dynamic route generation</w:t>
      </w:r>
    </w:p>
    <w:p>
      <w:pPr>
        <w:pStyle w:val="Heading1"/>
      </w:pPr>
      <w:r>
        <w:t>12.9 v2.0 - Digital Visitor Platform</w:t>
      </w:r>
    </w:p>
    <w:p>
      <w:r>
        <w:t>At v2.0 the product should be presented primarily as MAG - Digital Visitor Platform for Museums, with audio guides as one module. The platform would combine visitor content, maps, offline, analytics, accessibility, multilingual delivery, AI, commerce, collection integration and enterprise editorial workflow.</w:t>
      </w:r>
    </w:p>
    <w:p>
      <w:pPr>
        <w:pStyle w:val="Title"/>
      </w:pPr>
      <w:r>
        <w:t>13. CMS-agnostic integration strategy</w:t>
      </w:r>
    </w:p>
    <w:p>
      <w:r>
        <w:t>The WordPress integration has proven the core idea: normalize institution-specific content into a stable guide contract. The next strategic step is not to rewrite MAG for each CMS, but to formalize a source-adapter layer so WordPress becomes one supported connector among several.</w:t>
      </w:r>
    </w:p>
    <w:tbl>
      <w:tblPr>
        <w:tblW w:type="auto" w:w="0"/>
        <w:tblLook w:firstColumn="1" w:firstRow="1" w:lastColumn="0" w:lastRow="0" w:noHBand="0" w:noVBand="1" w:val="04A0"/>
      </w:tblPr>
      <w:tblGrid>
        <w:gridCol w:w="10052"/>
      </w:tblGrid>
      <w:tr>
        <w:tc>
          <w:tcPr>
            <w:tcW w:type="dxa" w:w="10052"/>
            <w:shd w:fill="F5F7F9"/>
            <w:tcMar>
              <w:top w:w="140" w:type="dxa"/>
              <w:start w:w="170" w:type="dxa"/>
              <w:bottom w:w="140" w:type="dxa"/>
              <w:end w:w="170" w:type="dxa"/>
            </w:tcMar>
          </w:tcPr>
          <w:p>
            <w:r>
              <w:rPr>
                <w:rFonts w:ascii="Courier New" w:hAnsi="Courier New"/>
                <w:color w:val="26323A"/>
                <w:sz w:val="17"/>
              </w:rPr>
              <w:t>CMS / COLLECTION SYSTEM</w:t>
            </w:r>
            <w:r>
              <w:br/>
            </w:r>
            <w:r>
              <w:rPr>
                <w:rFonts w:ascii="Courier New" w:hAnsi="Courier New"/>
                <w:color w:val="26323A"/>
                <w:sz w:val="17"/>
              </w:rPr>
              <w:t xml:space="preserve">        |</w:t>
            </w:r>
            <w:r>
              <w:br/>
            </w:r>
            <w:r>
              <w:rPr>
                <w:rFonts w:ascii="Courier New" w:hAnsi="Courier New"/>
                <w:color w:val="26323A"/>
                <w:sz w:val="17"/>
              </w:rPr>
              <w:t xml:space="preserve">        v</w:t>
            </w:r>
            <w:r>
              <w:br/>
            </w:r>
            <w:r>
              <w:rPr>
                <w:rFonts w:ascii="Courier New" w:hAnsi="Courier New"/>
                <w:color w:val="26323A"/>
                <w:sz w:val="17"/>
              </w:rPr>
              <w:t xml:space="preserve">   MAG SOURCE ADAPTER</w:t>
            </w:r>
            <w:r>
              <w:br/>
            </w:r>
            <w:r>
              <w:rPr>
                <w:rFonts w:ascii="Courier New" w:hAnsi="Courier New"/>
                <w:color w:val="26323A"/>
                <w:sz w:val="17"/>
              </w:rPr>
              <w:t xml:space="preserve">        |</w:t>
            </w:r>
            <w:r>
              <w:br/>
            </w:r>
            <w:r>
              <w:rPr>
                <w:rFonts w:ascii="Courier New" w:hAnsi="Courier New"/>
                <w:color w:val="26323A"/>
                <w:sz w:val="17"/>
              </w:rPr>
              <w:t xml:space="preserve">        v</w:t>
            </w:r>
            <w:r>
              <w:br/>
            </w:r>
            <w:r>
              <w:rPr>
                <w:rFonts w:ascii="Courier New" w:hAnsi="Courier New"/>
                <w:color w:val="26323A"/>
                <w:sz w:val="17"/>
              </w:rPr>
              <w:t xml:space="preserve">  NORMALIZED MAG MODEL</w:t>
            </w:r>
            <w:r>
              <w:br/>
            </w:r>
            <w:r>
              <w:rPr>
                <w:rFonts w:ascii="Courier New" w:hAnsi="Courier New"/>
                <w:color w:val="26323A"/>
                <w:sz w:val="17"/>
              </w:rPr>
              <w:t xml:space="preserve"> Object | Space | Story | Tour | Stop</w:t>
            </w:r>
            <w:r>
              <w:br/>
            </w:r>
            <w:r>
              <w:rPr>
                <w:rFonts w:ascii="Courier New" w:hAnsi="Courier New"/>
                <w:color w:val="26323A"/>
                <w:sz w:val="17"/>
              </w:rPr>
              <w:t xml:space="preserve">        |</w:t>
            </w:r>
            <w:r>
              <w:br/>
            </w:r>
            <w:r>
              <w:rPr>
                <w:rFonts w:ascii="Courier New" w:hAnsi="Courier New"/>
                <w:color w:val="26323A"/>
                <w:sz w:val="17"/>
              </w:rPr>
              <w:t xml:space="preserve">        v</w:t>
            </w:r>
            <w:r>
              <w:br/>
            </w:r>
            <w:r>
              <w:rPr>
                <w:rFonts w:ascii="Courier New" w:hAnsi="Courier New"/>
                <w:color w:val="26323A"/>
                <w:sz w:val="17"/>
              </w:rPr>
              <w:t xml:space="preserve">      MAG API</w:t>
            </w:r>
            <w:r>
              <w:br/>
            </w:r>
            <w:r>
              <w:rPr>
                <w:rFonts w:ascii="Courier New" w:hAnsi="Courier New"/>
                <w:color w:val="26323A"/>
                <w:sz w:val="17"/>
              </w:rPr>
              <w:t xml:space="preserve">        |</w:t>
            </w:r>
            <w:r>
              <w:br/>
            </w:r>
            <w:r>
              <w:rPr>
                <w:rFonts w:ascii="Courier New" w:hAnsi="Courier New"/>
                <w:color w:val="26323A"/>
                <w:sz w:val="17"/>
              </w:rPr>
              <w:t xml:space="preserve">        v</w:t>
            </w:r>
            <w:r>
              <w:br/>
            </w:r>
            <w:r>
              <w:rPr>
                <w:rFonts w:ascii="Courier New" w:hAnsi="Courier New"/>
                <w:color w:val="26323A"/>
                <w:sz w:val="17"/>
              </w:rPr>
              <w:t xml:space="preserve">  GUIDE FRONTEND / PWA</w:t>
            </w:r>
          </w:p>
        </w:tc>
      </w:tr>
    </w:tbl>
    <w:p>
      <w:pPr>
        <w:spacing w:after="40"/>
      </w:pPr>
    </w:p>
    <w:p>
      <w:r>
        <w:t>The same frontend and tour engine should work regardless of whether object metadata comes from WordPress, Drupal, Omeka, Directus or a museum collection-management system.</w:t>
      </w:r>
    </w:p>
    <w:p>
      <w:pPr>
        <w:pStyle w:val="Title"/>
      </w:pPr>
      <w:r>
        <w:t>14. Recommended architecture for CMS adapters</w:t>
      </w:r>
    </w:p>
    <w:p>
      <w:pPr>
        <w:pStyle w:val="Heading1"/>
      </w:pPr>
      <w:r>
        <w:t>14.1 Source adapter interface</w:t>
      </w:r>
    </w:p>
    <w:tbl>
      <w:tblPr>
        <w:tblW w:type="auto" w:w="0"/>
        <w:tblLook w:firstColumn="1" w:firstRow="1" w:lastColumn="0" w:lastRow="0" w:noHBand="0" w:noVBand="1" w:val="04A0"/>
      </w:tblPr>
      <w:tblGrid>
        <w:gridCol w:w="10052"/>
      </w:tblGrid>
      <w:tr>
        <w:tc>
          <w:tcPr>
            <w:tcW w:type="dxa" w:w="10052"/>
            <w:shd w:fill="F5F7F9"/>
            <w:tcMar>
              <w:top w:w="140" w:type="dxa"/>
              <w:start w:w="170" w:type="dxa"/>
              <w:bottom w:w="140" w:type="dxa"/>
              <w:end w:w="170" w:type="dxa"/>
            </w:tcMar>
          </w:tcPr>
          <w:p>
            <w:r>
              <w:rPr>
                <w:rFonts w:ascii="Courier New" w:hAnsi="Courier New"/>
                <w:color w:val="26323A"/>
                <w:sz w:val="17"/>
              </w:rPr>
              <w:t>MagSourceAdapter</w:t>
            </w:r>
            <w:r>
              <w:br/>
            </w:r>
            <w:r>
              <w:rPr>
                <w:rFonts w:ascii="Courier New" w:hAnsi="Courier New"/>
                <w:color w:val="26323A"/>
                <w:sz w:val="17"/>
              </w:rPr>
              <w:t xml:space="preserve">  getObject(id)</w:t>
            </w:r>
            <w:r>
              <w:br/>
            </w:r>
            <w:r>
              <w:rPr>
                <w:rFonts w:ascii="Courier New" w:hAnsi="Courier New"/>
                <w:color w:val="26323A"/>
                <w:sz w:val="17"/>
              </w:rPr>
              <w:t xml:space="preserve">  getObjects(query)</w:t>
            </w:r>
            <w:r>
              <w:br/>
            </w:r>
            <w:r>
              <w:rPr>
                <w:rFonts w:ascii="Courier New" w:hAnsi="Courier New"/>
                <w:color w:val="26323A"/>
                <w:sz w:val="17"/>
              </w:rPr>
              <w:t xml:space="preserve">  getSpace(id)</w:t>
            </w:r>
            <w:r>
              <w:br/>
            </w:r>
            <w:r>
              <w:rPr>
                <w:rFonts w:ascii="Courier New" w:hAnsi="Courier New"/>
                <w:color w:val="26323A"/>
                <w:sz w:val="17"/>
              </w:rPr>
              <w:t xml:space="preserve">  getStory(id)</w:t>
            </w:r>
            <w:r>
              <w:br/>
            </w:r>
            <w:r>
              <w:rPr>
                <w:rFonts w:ascii="Courier New" w:hAnsi="Courier New"/>
                <w:color w:val="26323A"/>
                <w:sz w:val="17"/>
              </w:rPr>
              <w:t xml:space="preserve">  getTour(id)</w:t>
            </w:r>
            <w:r>
              <w:br/>
            </w:r>
            <w:r>
              <w:rPr>
                <w:rFonts w:ascii="Courier New" w:hAnsi="Courier New"/>
                <w:color w:val="26323A"/>
                <w:sz w:val="17"/>
              </w:rPr>
              <w:t xml:space="preserve">  getMedia(ref)</w:t>
            </w:r>
            <w:r>
              <w:br/>
            </w:r>
            <w:r>
              <w:rPr>
                <w:rFonts w:ascii="Courier New" w:hAnsi="Courier New"/>
                <w:color w:val="26323A"/>
                <w:sz w:val="17"/>
              </w:rPr>
              <w:t xml:space="preserve">  getLanguages()</w:t>
            </w:r>
            <w:r>
              <w:br/>
            </w:r>
            <w:r>
              <w:rPr>
                <w:rFonts w:ascii="Courier New" w:hAnsi="Courier New"/>
                <w:color w:val="26323A"/>
                <w:sz w:val="17"/>
              </w:rPr>
              <w:t xml:space="preserve">  getTranslation(entity, language)</w:t>
            </w:r>
          </w:p>
        </w:tc>
      </w:tr>
    </w:tbl>
    <w:p>
      <w:pPr>
        <w:spacing w:after="40"/>
      </w:pPr>
    </w:p>
    <w:p>
      <w:r>
        <w:t>This interface should return normalized MAG domain data. Individual adapters are responsible for authentication, pagination, source-specific field names, translations and media references.</w:t>
      </w:r>
    </w:p>
    <w:p>
      <w:pPr>
        <w:pStyle w:val="Heading1"/>
      </w:pPr>
      <w:r>
        <w:t>14.2 Separate CMS and collection adapters</w:t>
      </w:r>
    </w:p>
    <w:p>
      <w:r>
        <w:t>For large museums, a website CMS and a collections system are often different products. MAG should therefore distinguish two integration categories:</w:t>
      </w:r>
    </w:p>
    <w:tbl>
      <w:tblPr>
        <w:tblStyle w:val="TableGrid"/>
        <w:tblW w:type="auto" w:w="0"/>
        <w:jc w:val="center"/>
        <w:tblLook w:firstColumn="1" w:firstRow="1" w:lastColumn="0" w:lastRow="0" w:noHBand="0" w:noVBand="1" w:val="04A0"/>
      </w:tblPr>
      <w:tblGrid>
        <w:gridCol w:w="3351"/>
        <w:gridCol w:w="3351"/>
        <w:gridCol w:w="3351"/>
      </w:tblGrid>
      <w:tr>
        <w:trPr>
          <w:tblHeader w:val="true"/>
        </w:trPr>
        <w:tc>
          <w:tcPr>
            <w:tcW w:type="dxa" w:w="2160"/>
            <w:shd w:fill="173A52"/>
            <w:tcMar>
              <w:top w:w="110" w:type="dxa"/>
              <w:start w:w="125" w:type="dxa"/>
              <w:bottom w:w="110" w:type="dxa"/>
              <w:end w:w="125" w:type="dxa"/>
            </w:tcMar>
            <w:vAlign w:val="center"/>
          </w:tcPr>
          <w:p>
            <w:r>
              <w:rPr>
                <w:b/>
                <w:color w:val="FFFFFF"/>
                <w:sz w:val="17"/>
              </w:rPr>
              <w:t>Adapter category</w:t>
            </w:r>
          </w:p>
        </w:tc>
        <w:tc>
          <w:tcPr>
            <w:tcW w:type="dxa" w:w="3671"/>
            <w:shd w:fill="173A52"/>
            <w:tcMar>
              <w:top w:w="110" w:type="dxa"/>
              <w:start w:w="125" w:type="dxa"/>
              <w:bottom w:w="110" w:type="dxa"/>
              <w:end w:w="125" w:type="dxa"/>
            </w:tcMar>
            <w:vAlign w:val="center"/>
          </w:tcPr>
          <w:p>
            <w:r>
              <w:rPr>
                <w:b/>
                <w:color w:val="FFFFFF"/>
                <w:sz w:val="17"/>
              </w:rPr>
              <w:t>Examples</w:t>
            </w:r>
          </w:p>
        </w:tc>
        <w:tc>
          <w:tcPr>
            <w:tcW w:type="dxa" w:w="4752"/>
            <w:shd w:fill="173A52"/>
            <w:tcMar>
              <w:top w:w="110" w:type="dxa"/>
              <w:start w:w="125" w:type="dxa"/>
              <w:bottom w:w="110" w:type="dxa"/>
              <w:end w:w="125" w:type="dxa"/>
            </w:tcMar>
            <w:vAlign w:val="center"/>
          </w:tcPr>
          <w:p>
            <w:r>
              <w:rPr>
                <w:b/>
                <w:color w:val="FFFFFF"/>
                <w:sz w:val="17"/>
              </w:rPr>
              <w:t>Typical responsibility</w:t>
            </w:r>
          </w:p>
        </w:tc>
      </w:tr>
      <w:tr>
        <w:tc>
          <w:tcPr>
            <w:tcW w:type="dxa" w:w="2160"/>
            <w:tcMar>
              <w:top w:w="110" w:type="dxa"/>
              <w:start w:w="125" w:type="dxa"/>
              <w:bottom w:w="110" w:type="dxa"/>
              <w:end w:w="125" w:type="dxa"/>
            </w:tcMar>
            <w:vAlign w:val="center"/>
          </w:tcPr>
          <w:p>
            <w:pPr>
              <w:spacing w:after="0" w:line="247" w:lineRule="auto"/>
            </w:pPr>
            <w:r>
              <w:rPr>
                <w:color w:val="26323A"/>
                <w:sz w:val="17"/>
              </w:rPr>
              <w:t>CMS adapter</w:t>
            </w:r>
          </w:p>
        </w:tc>
        <w:tc>
          <w:tcPr>
            <w:tcW w:type="dxa" w:w="3671"/>
            <w:tcMar>
              <w:top w:w="110" w:type="dxa"/>
              <w:start w:w="125" w:type="dxa"/>
              <w:bottom w:w="110" w:type="dxa"/>
              <w:end w:w="125" w:type="dxa"/>
            </w:tcMar>
            <w:vAlign w:val="center"/>
          </w:tcPr>
          <w:p>
            <w:pPr>
              <w:spacing w:after="0" w:line="247" w:lineRule="auto"/>
            </w:pPr>
            <w:r>
              <w:rPr>
                <w:color w:val="26323A"/>
                <w:sz w:val="17"/>
              </w:rPr>
              <w:t>WordPress, Drupal, Strapi, Directus, Contentful, Sanity</w:t>
            </w:r>
          </w:p>
        </w:tc>
        <w:tc>
          <w:tcPr>
            <w:tcW w:type="dxa" w:w="4752"/>
            <w:tcMar>
              <w:top w:w="110" w:type="dxa"/>
              <w:start w:w="125" w:type="dxa"/>
              <w:bottom w:w="110" w:type="dxa"/>
              <w:end w:w="125" w:type="dxa"/>
            </w:tcMar>
            <w:vAlign w:val="center"/>
          </w:tcPr>
          <w:p>
            <w:pPr>
              <w:spacing w:after="0" w:line="247" w:lineRule="auto"/>
            </w:pPr>
            <w:r>
              <w:rPr>
                <w:color w:val="26323A"/>
                <w:sz w:val="17"/>
              </w:rPr>
              <w:t>Editorial visitor content, pages, stories, tours, translations, website integration.</w:t>
            </w:r>
          </w:p>
        </w:tc>
      </w:tr>
      <w:tr>
        <w:tc>
          <w:tcPr>
            <w:tcW w:type="dxa" w:w="2160"/>
            <w:tcMar>
              <w:top w:w="110" w:type="dxa"/>
              <w:start w:w="125" w:type="dxa"/>
              <w:bottom w:w="110" w:type="dxa"/>
              <w:end w:w="125" w:type="dxa"/>
            </w:tcMar>
            <w:vAlign w:val="center"/>
          </w:tcPr>
          <w:p>
            <w:pPr>
              <w:spacing w:after="0" w:line="247" w:lineRule="auto"/>
            </w:pPr>
            <w:r>
              <w:rPr>
                <w:color w:val="26323A"/>
                <w:sz w:val="17"/>
              </w:rPr>
              <w:t>Collection adapter</w:t>
            </w:r>
          </w:p>
        </w:tc>
        <w:tc>
          <w:tcPr>
            <w:tcW w:type="dxa" w:w="3671"/>
            <w:tcMar>
              <w:top w:w="110" w:type="dxa"/>
              <w:start w:w="125" w:type="dxa"/>
              <w:bottom w:w="110" w:type="dxa"/>
              <w:end w:w="125" w:type="dxa"/>
            </w:tcMar>
            <w:vAlign w:val="center"/>
          </w:tcPr>
          <w:p>
            <w:pPr>
              <w:spacing w:after="0" w:line="247" w:lineRule="auto"/>
            </w:pPr>
            <w:r>
              <w:rPr>
                <w:color w:val="26323A"/>
                <w:sz w:val="17"/>
              </w:rPr>
              <w:t>TMS, MuseumPlus, Axiell, CollectionSpace, Omeka S</w:t>
            </w:r>
          </w:p>
        </w:tc>
        <w:tc>
          <w:tcPr>
            <w:tcW w:type="dxa" w:w="4752"/>
            <w:tcMar>
              <w:top w:w="110" w:type="dxa"/>
              <w:start w:w="125" w:type="dxa"/>
              <w:bottom w:w="110" w:type="dxa"/>
              <w:end w:w="125" w:type="dxa"/>
            </w:tcMar>
            <w:vAlign w:val="center"/>
          </w:tcPr>
          <w:p>
            <w:pPr>
              <w:spacing w:after="0" w:line="247" w:lineRule="auto"/>
            </w:pPr>
            <w:r>
              <w:rPr>
                <w:color w:val="26323A"/>
                <w:sz w:val="17"/>
              </w:rPr>
              <w:t>Authoritative object metadata, inventory, makers, dates, media and collection relationships.</w:t>
            </w:r>
          </w:p>
        </w:tc>
      </w:tr>
    </w:tbl>
    <w:p>
      <w:pPr>
        <w:spacing w:after="40"/>
      </w:pPr>
    </w:p>
    <w:p>
      <w:r>
        <w:t>A sophisticated deployment may combine both. Example: TMS supplies object data, Drupal supplies editorial narratives, and MAG composes the visitor experience without copying either system wholesale.</w:t>
      </w:r>
    </w:p>
    <w:p>
      <w:pPr>
        <w:pStyle w:val="Heading1"/>
      </w:pPr>
      <w:r>
        <w:t>14.3 Semantic mapping becomes the product core</w:t>
      </w:r>
    </w:p>
    <w:tbl>
      <w:tblPr>
        <w:tblW w:type="auto" w:w="0"/>
        <w:tblLook w:firstColumn="1" w:firstRow="1" w:lastColumn="0" w:lastRow="0" w:noHBand="0" w:noVBand="1" w:val="04A0"/>
      </w:tblPr>
      <w:tblGrid>
        <w:gridCol w:w="10052"/>
      </w:tblGrid>
      <w:tr>
        <w:tc>
          <w:tcPr>
            <w:tcW w:type="dxa" w:w="10052"/>
            <w:shd w:fill="F5F7F9"/>
            <w:tcMar>
              <w:top w:w="140" w:type="dxa"/>
              <w:start w:w="170" w:type="dxa"/>
              <w:bottom w:w="140" w:type="dxa"/>
              <w:end w:w="170" w:type="dxa"/>
            </w:tcMar>
          </w:tcPr>
          <w:p>
            <w:r>
              <w:rPr>
                <w:rFonts w:ascii="Courier New" w:hAnsi="Courier New"/>
                <w:color w:val="26323A"/>
                <w:sz w:val="17"/>
              </w:rPr>
              <w:t>MAG field: author</w:t>
            </w:r>
            <w:r>
              <w:br/>
            </w:r>
            <w:r>
              <w:rPr>
                <w:rFonts w:ascii="Courier New" w:hAnsi="Courier New"/>
                <w:color w:val="26323A"/>
                <w:sz w:val="17"/>
              </w:rPr>
            </w:r>
            <w:r>
              <w:br/>
            </w:r>
            <w:r>
              <w:rPr>
                <w:rFonts w:ascii="Courier New" w:hAnsi="Courier New"/>
                <w:color w:val="26323A"/>
                <w:sz w:val="17"/>
              </w:rPr>
              <w:t>WordPress -&gt; acf.autor</w:t>
            </w:r>
            <w:r>
              <w:br/>
            </w:r>
            <w:r>
              <w:rPr>
                <w:rFonts w:ascii="Courier New" w:hAnsi="Courier New"/>
                <w:color w:val="26323A"/>
                <w:sz w:val="17"/>
              </w:rPr>
              <w:t>Drupal    -&gt; field_author</w:t>
            </w:r>
            <w:r>
              <w:br/>
            </w:r>
            <w:r>
              <w:rPr>
                <w:rFonts w:ascii="Courier New" w:hAnsi="Courier New"/>
                <w:color w:val="26323A"/>
                <w:sz w:val="17"/>
              </w:rPr>
              <w:t>Directus  -&gt; creator.name</w:t>
            </w:r>
            <w:r>
              <w:br/>
            </w:r>
            <w:r>
              <w:rPr>
                <w:rFonts w:ascii="Courier New" w:hAnsi="Courier New"/>
                <w:color w:val="26323A"/>
                <w:sz w:val="17"/>
              </w:rPr>
              <w:t>TMS       -&gt; Constituent.DisplayName</w:t>
            </w:r>
            <w:r>
              <w:br/>
            </w:r>
            <w:r>
              <w:rPr>
                <w:rFonts w:ascii="Courier New" w:hAnsi="Courier New"/>
                <w:color w:val="26323A"/>
                <w:sz w:val="17"/>
              </w:rPr>
            </w:r>
            <w:r>
              <w:br/>
            </w:r>
            <w:r>
              <w:rPr>
                <w:rFonts w:ascii="Courier New" w:hAnsi="Courier New"/>
                <w:color w:val="26323A"/>
                <w:sz w:val="17"/>
              </w:rPr>
              <w:t>Normalized output -&gt; author</w:t>
            </w:r>
          </w:p>
        </w:tc>
      </w:tr>
    </w:tbl>
    <w:p>
      <w:pPr>
        <w:spacing w:after="40"/>
      </w:pPr>
    </w:p>
    <w:tbl>
      <w:tblPr>
        <w:tblW w:type="auto" w:w="0"/>
        <w:jc w:val="center"/>
        <w:tblLook w:firstColumn="1" w:firstRow="1" w:lastColumn="0" w:lastRow="0" w:noHBand="0" w:noVBand="1" w:val="04A0"/>
      </w:tblPr>
      <w:tblGrid>
        <w:gridCol w:w="10052"/>
      </w:tblGrid>
      <w:tr>
        <w:trPr>
          <w:cantSplit w:val="true"/>
        </w:trPr>
        <w:tc>
          <w:tcPr>
            <w:tcW w:type="dxa" w:w="10052"/>
            <w:shd w:fill="DDEFE4"/>
            <w:tcMar>
              <w:top w:w="170" w:type="dxa"/>
              <w:start w:w="200" w:type="dxa"/>
              <w:bottom w:w="170" w:type="dxa"/>
              <w:end w:w="200" w:type="dxa"/>
            </w:tcMar>
          </w:tcPr>
          <w:p>
            <w:pPr>
              <w:spacing w:after="80"/>
            </w:pPr>
            <w:r>
              <w:rPr>
                <w:b/>
                <w:color w:val="173A52"/>
                <w:sz w:val="21"/>
              </w:rPr>
              <w:t>Architectural objective</w:t>
            </w:r>
          </w:p>
          <w:p>
            <w:pPr>
              <w:spacing w:after="0" w:line="264" w:lineRule="auto"/>
            </w:pPr>
            <w:r>
              <w:rPr>
                <w:sz w:val="20"/>
              </w:rPr>
              <w:t>The museum should not migrate its collection to MAG. MAG should map, enrich and present the institution’s existing authoritative data.</w:t>
            </w:r>
          </w:p>
        </w:tc>
      </w:tr>
    </w:tbl>
    <w:p>
      <w:pPr>
        <w:spacing w:after="40"/>
      </w:pPr>
    </w:p>
    <w:p>
      <w:pPr>
        <w:pStyle w:val="Title"/>
      </w:pPr>
      <w:r>
        <w:t>15. Priority integration targets</w:t>
      </w:r>
    </w:p>
    <w:tbl>
      <w:tblPr>
        <w:tblStyle w:val="TableGrid"/>
        <w:tblW w:type="auto" w:w="0"/>
        <w:jc w:val="center"/>
        <w:tblLook w:firstColumn="1" w:firstRow="1" w:lastColumn="0" w:lastRow="0" w:noHBand="0" w:noVBand="1" w:val="04A0"/>
      </w:tblPr>
      <w:tblGrid>
        <w:gridCol w:w="2513"/>
        <w:gridCol w:w="2513"/>
        <w:gridCol w:w="2513"/>
        <w:gridCol w:w="2513"/>
      </w:tblGrid>
      <w:tr>
        <w:trPr>
          <w:tblHeader w:val="true"/>
        </w:trPr>
        <w:tc>
          <w:tcPr>
            <w:tcW w:type="dxa" w:w="1007"/>
            <w:shd w:fill="173A52"/>
            <w:tcMar>
              <w:top w:w="110" w:type="dxa"/>
              <w:start w:w="125" w:type="dxa"/>
              <w:bottom w:w="110" w:type="dxa"/>
              <w:end w:w="125" w:type="dxa"/>
            </w:tcMar>
            <w:vAlign w:val="center"/>
          </w:tcPr>
          <w:p>
            <w:r>
              <w:rPr>
                <w:b/>
                <w:color w:val="FFFFFF"/>
                <w:sz w:val="17"/>
              </w:rPr>
              <w:t>Priority</w:t>
            </w:r>
          </w:p>
        </w:tc>
        <w:tc>
          <w:tcPr>
            <w:tcW w:type="dxa" w:w="2088"/>
            <w:shd w:fill="173A52"/>
            <w:tcMar>
              <w:top w:w="110" w:type="dxa"/>
              <w:start w:w="125" w:type="dxa"/>
              <w:bottom w:w="110" w:type="dxa"/>
              <w:end w:w="125" w:type="dxa"/>
            </w:tcMar>
            <w:vAlign w:val="center"/>
          </w:tcPr>
          <w:p>
            <w:r>
              <w:rPr>
                <w:b/>
                <w:color w:val="FFFFFF"/>
                <w:sz w:val="17"/>
              </w:rPr>
              <w:t>System</w:t>
            </w:r>
          </w:p>
        </w:tc>
        <w:tc>
          <w:tcPr>
            <w:tcW w:type="dxa" w:w="4824"/>
            <w:shd w:fill="173A52"/>
            <w:tcMar>
              <w:top w:w="110" w:type="dxa"/>
              <w:start w:w="125" w:type="dxa"/>
              <w:bottom w:w="110" w:type="dxa"/>
              <w:end w:w="125" w:type="dxa"/>
            </w:tcMar>
            <w:vAlign w:val="center"/>
          </w:tcPr>
          <w:p>
            <w:r>
              <w:rPr>
                <w:b/>
                <w:color w:val="FFFFFF"/>
                <w:sz w:val="17"/>
              </w:rPr>
              <w:t>Why it matters</w:t>
            </w:r>
          </w:p>
        </w:tc>
        <w:tc>
          <w:tcPr>
            <w:tcW w:type="dxa" w:w="2448"/>
            <w:shd w:fill="173A52"/>
            <w:tcMar>
              <w:top w:w="110" w:type="dxa"/>
              <w:start w:w="125" w:type="dxa"/>
              <w:bottom w:w="110" w:type="dxa"/>
              <w:end w:w="125" w:type="dxa"/>
            </w:tcMar>
            <w:vAlign w:val="center"/>
          </w:tcPr>
          <w:p>
            <w:r>
              <w:rPr>
                <w:b/>
                <w:color w:val="FFFFFF"/>
                <w:sz w:val="17"/>
              </w:rPr>
              <w:t>Recommended timing</w:t>
            </w:r>
          </w:p>
        </w:tc>
      </w:tr>
      <w:tr>
        <w:tc>
          <w:tcPr>
            <w:tcW w:type="dxa" w:w="1007"/>
            <w:tcMar>
              <w:top w:w="110" w:type="dxa"/>
              <w:start w:w="125" w:type="dxa"/>
              <w:bottom w:w="110" w:type="dxa"/>
              <w:end w:w="125" w:type="dxa"/>
            </w:tcMar>
            <w:vAlign w:val="center"/>
          </w:tcPr>
          <w:p>
            <w:pPr>
              <w:spacing w:after="0" w:line="247" w:lineRule="auto"/>
            </w:pPr>
            <w:r>
              <w:rPr>
                <w:color w:val="26323A"/>
                <w:sz w:val="17"/>
              </w:rPr>
              <w:t>1</w:t>
            </w:r>
          </w:p>
        </w:tc>
        <w:tc>
          <w:tcPr>
            <w:tcW w:type="dxa" w:w="2088"/>
            <w:tcMar>
              <w:top w:w="110" w:type="dxa"/>
              <w:start w:w="125" w:type="dxa"/>
              <w:bottom w:w="110" w:type="dxa"/>
              <w:end w:w="125" w:type="dxa"/>
            </w:tcMar>
            <w:vAlign w:val="center"/>
          </w:tcPr>
          <w:p>
            <w:pPr>
              <w:spacing w:after="0" w:line="247" w:lineRule="auto"/>
            </w:pPr>
            <w:r>
              <w:rPr>
                <w:color w:val="26323A"/>
                <w:sz w:val="17"/>
              </w:rPr>
              <w:t>Drupal</w:t>
            </w:r>
          </w:p>
        </w:tc>
        <w:tc>
          <w:tcPr>
            <w:tcW w:type="dxa" w:w="4824"/>
            <w:tcMar>
              <w:top w:w="110" w:type="dxa"/>
              <w:start w:w="125" w:type="dxa"/>
              <w:bottom w:w="110" w:type="dxa"/>
              <w:end w:w="125" w:type="dxa"/>
            </w:tcMar>
            <w:vAlign w:val="center"/>
          </w:tcPr>
          <w:p>
            <w:pPr>
              <w:spacing w:after="0" w:line="247" w:lineRule="auto"/>
            </w:pPr>
            <w:r>
              <w:rPr>
                <w:color w:val="26323A"/>
                <w:sz w:val="17"/>
              </w:rPr>
              <w:t>Common in government, universities and cultural institutions; strong structured content, multilingual, roles and JSON:API.</w:t>
            </w:r>
          </w:p>
        </w:tc>
        <w:tc>
          <w:tcPr>
            <w:tcW w:type="dxa" w:w="2448"/>
            <w:tcMar>
              <w:top w:w="110" w:type="dxa"/>
              <w:start w:w="125" w:type="dxa"/>
              <w:bottom w:w="110" w:type="dxa"/>
              <w:end w:w="125" w:type="dxa"/>
            </w:tcMar>
            <w:vAlign w:val="center"/>
          </w:tcPr>
          <w:p>
            <w:pPr>
              <w:spacing w:after="0" w:line="247" w:lineRule="auto"/>
            </w:pPr>
            <w:r>
              <w:rPr>
                <w:color w:val="26323A"/>
                <w:sz w:val="17"/>
              </w:rPr>
              <w:t>First non-WordPress CMS adapter</w:t>
            </w:r>
          </w:p>
        </w:tc>
      </w:tr>
      <w:tr>
        <w:tc>
          <w:tcPr>
            <w:tcW w:type="dxa" w:w="1007"/>
            <w:tcMar>
              <w:top w:w="110" w:type="dxa"/>
              <w:start w:w="125" w:type="dxa"/>
              <w:bottom w:w="110" w:type="dxa"/>
              <w:end w:w="125" w:type="dxa"/>
            </w:tcMar>
            <w:vAlign w:val="center"/>
          </w:tcPr>
          <w:p>
            <w:pPr>
              <w:spacing w:after="0" w:line="247" w:lineRule="auto"/>
            </w:pPr>
            <w:r>
              <w:rPr>
                <w:color w:val="26323A"/>
                <w:sz w:val="17"/>
              </w:rPr>
              <w:t>2</w:t>
            </w:r>
          </w:p>
        </w:tc>
        <w:tc>
          <w:tcPr>
            <w:tcW w:type="dxa" w:w="2088"/>
            <w:tcMar>
              <w:top w:w="110" w:type="dxa"/>
              <w:start w:w="125" w:type="dxa"/>
              <w:bottom w:w="110" w:type="dxa"/>
              <w:end w:w="125" w:type="dxa"/>
            </w:tcMar>
            <w:vAlign w:val="center"/>
          </w:tcPr>
          <w:p>
            <w:pPr>
              <w:spacing w:after="0" w:line="247" w:lineRule="auto"/>
            </w:pPr>
            <w:r>
              <w:rPr>
                <w:color w:val="26323A"/>
                <w:sz w:val="17"/>
              </w:rPr>
              <w:t>Omeka S</w:t>
            </w:r>
          </w:p>
        </w:tc>
        <w:tc>
          <w:tcPr>
            <w:tcW w:type="dxa" w:w="4824"/>
            <w:tcMar>
              <w:top w:w="110" w:type="dxa"/>
              <w:start w:w="125" w:type="dxa"/>
              <w:bottom w:w="110" w:type="dxa"/>
              <w:end w:w="125" w:type="dxa"/>
            </w:tcMar>
            <w:vAlign w:val="center"/>
          </w:tcPr>
          <w:p>
            <w:pPr>
              <w:spacing w:after="0" w:line="247" w:lineRule="auto"/>
            </w:pPr>
            <w:r>
              <w:rPr>
                <w:color w:val="26323A"/>
                <w:sz w:val="17"/>
              </w:rPr>
              <w:t>Museum/archive-specific resource model; natural match for objects, media, item sets and semantic metadata.</w:t>
            </w:r>
          </w:p>
        </w:tc>
        <w:tc>
          <w:tcPr>
            <w:tcW w:type="dxa" w:w="2448"/>
            <w:tcMar>
              <w:top w:w="110" w:type="dxa"/>
              <w:start w:w="125" w:type="dxa"/>
              <w:bottom w:w="110" w:type="dxa"/>
              <w:end w:w="125" w:type="dxa"/>
            </w:tcMar>
            <w:vAlign w:val="center"/>
          </w:tcPr>
          <w:p>
            <w:pPr>
              <w:spacing w:after="0" w:line="247" w:lineRule="auto"/>
            </w:pPr>
            <w:r>
              <w:rPr>
                <w:color w:val="26323A"/>
                <w:sz w:val="17"/>
              </w:rPr>
              <w:t>Early v2 adapter</w:t>
            </w:r>
          </w:p>
        </w:tc>
      </w:tr>
      <w:tr>
        <w:tc>
          <w:tcPr>
            <w:tcW w:type="dxa" w:w="1007"/>
            <w:tcMar>
              <w:top w:w="110" w:type="dxa"/>
              <w:start w:w="125" w:type="dxa"/>
              <w:bottom w:w="110" w:type="dxa"/>
              <w:end w:w="125" w:type="dxa"/>
            </w:tcMar>
            <w:vAlign w:val="center"/>
          </w:tcPr>
          <w:p>
            <w:pPr>
              <w:spacing w:after="0" w:line="247" w:lineRule="auto"/>
            </w:pPr>
            <w:r>
              <w:rPr>
                <w:color w:val="26323A"/>
                <w:sz w:val="17"/>
              </w:rPr>
              <w:t>3</w:t>
            </w:r>
          </w:p>
        </w:tc>
        <w:tc>
          <w:tcPr>
            <w:tcW w:type="dxa" w:w="2088"/>
            <w:tcMar>
              <w:top w:w="110" w:type="dxa"/>
              <w:start w:w="125" w:type="dxa"/>
              <w:bottom w:w="110" w:type="dxa"/>
              <w:end w:w="125" w:type="dxa"/>
            </w:tcMar>
            <w:vAlign w:val="center"/>
          </w:tcPr>
          <w:p>
            <w:pPr>
              <w:spacing w:after="0" w:line="247" w:lineRule="auto"/>
            </w:pPr>
            <w:r>
              <w:rPr>
                <w:color w:val="26323A"/>
                <w:sz w:val="17"/>
              </w:rPr>
              <w:t>Directus</w:t>
            </w:r>
          </w:p>
        </w:tc>
        <w:tc>
          <w:tcPr>
            <w:tcW w:type="dxa" w:w="4824"/>
            <w:tcMar>
              <w:top w:w="110" w:type="dxa"/>
              <w:start w:w="125" w:type="dxa"/>
              <w:bottom w:w="110" w:type="dxa"/>
              <w:end w:w="125" w:type="dxa"/>
            </w:tcMar>
            <w:vAlign w:val="center"/>
          </w:tcPr>
          <w:p>
            <w:pPr>
              <w:spacing w:after="0" w:line="247" w:lineRule="auto"/>
            </w:pPr>
            <w:r>
              <w:rPr>
                <w:color w:val="26323A"/>
                <w:sz w:val="17"/>
              </w:rPr>
              <w:t>API-first and can sit directly on existing SQL data; aligns well with no-migration philosophy.</w:t>
            </w:r>
          </w:p>
        </w:tc>
        <w:tc>
          <w:tcPr>
            <w:tcW w:type="dxa" w:w="2448"/>
            <w:tcMar>
              <w:top w:w="110" w:type="dxa"/>
              <w:start w:w="125" w:type="dxa"/>
              <w:bottom w:w="110" w:type="dxa"/>
              <w:end w:w="125" w:type="dxa"/>
            </w:tcMar>
            <w:vAlign w:val="center"/>
          </w:tcPr>
          <w:p>
            <w:pPr>
              <w:spacing w:after="0" w:line="247" w:lineRule="auto"/>
            </w:pPr>
            <w:r>
              <w:rPr>
                <w:color w:val="26323A"/>
                <w:sz w:val="17"/>
              </w:rPr>
              <w:t>Early v2 adapter</w:t>
            </w:r>
          </w:p>
        </w:tc>
      </w:tr>
      <w:tr>
        <w:tc>
          <w:tcPr>
            <w:tcW w:type="dxa" w:w="1007"/>
            <w:tcMar>
              <w:top w:w="110" w:type="dxa"/>
              <w:start w:w="125" w:type="dxa"/>
              <w:bottom w:w="110" w:type="dxa"/>
              <w:end w:w="125" w:type="dxa"/>
            </w:tcMar>
            <w:vAlign w:val="center"/>
          </w:tcPr>
          <w:p>
            <w:pPr>
              <w:spacing w:after="0" w:line="247" w:lineRule="auto"/>
            </w:pPr>
            <w:r>
              <w:rPr>
                <w:color w:val="26323A"/>
                <w:sz w:val="17"/>
              </w:rPr>
              <w:t>4</w:t>
            </w:r>
          </w:p>
        </w:tc>
        <w:tc>
          <w:tcPr>
            <w:tcW w:type="dxa" w:w="2088"/>
            <w:tcMar>
              <w:top w:w="110" w:type="dxa"/>
              <w:start w:w="125" w:type="dxa"/>
              <w:bottom w:w="110" w:type="dxa"/>
              <w:end w:w="125" w:type="dxa"/>
            </w:tcMar>
            <w:vAlign w:val="center"/>
          </w:tcPr>
          <w:p>
            <w:pPr>
              <w:spacing w:after="0" w:line="247" w:lineRule="auto"/>
            </w:pPr>
            <w:r>
              <w:rPr>
                <w:color w:val="26323A"/>
                <w:sz w:val="17"/>
              </w:rPr>
              <w:t>Strapi</w:t>
            </w:r>
          </w:p>
        </w:tc>
        <w:tc>
          <w:tcPr>
            <w:tcW w:type="dxa" w:w="4824"/>
            <w:tcMar>
              <w:top w:w="110" w:type="dxa"/>
              <w:start w:w="125" w:type="dxa"/>
              <w:bottom w:w="110" w:type="dxa"/>
              <w:end w:w="125" w:type="dxa"/>
            </w:tcMar>
            <w:vAlign w:val="center"/>
          </w:tcPr>
          <w:p>
            <w:pPr>
              <w:spacing w:after="0" w:line="247" w:lineRule="auto"/>
            </w:pPr>
            <w:r>
              <w:rPr>
                <w:color w:val="26323A"/>
                <w:sz w:val="17"/>
              </w:rPr>
              <w:t>Popular headless CMS, API-first and relatively straightforward to map.</w:t>
            </w:r>
          </w:p>
        </w:tc>
        <w:tc>
          <w:tcPr>
            <w:tcW w:type="dxa" w:w="2448"/>
            <w:tcMar>
              <w:top w:w="110" w:type="dxa"/>
              <w:start w:w="125" w:type="dxa"/>
              <w:bottom w:w="110" w:type="dxa"/>
              <w:end w:w="125" w:type="dxa"/>
            </w:tcMar>
            <w:vAlign w:val="center"/>
          </w:tcPr>
          <w:p>
            <w:pPr>
              <w:spacing w:after="0" w:line="247" w:lineRule="auto"/>
            </w:pPr>
            <w:r>
              <w:rPr>
                <w:color w:val="26323A"/>
                <w:sz w:val="17"/>
              </w:rPr>
              <w:t>After Directus</w:t>
            </w:r>
          </w:p>
        </w:tc>
      </w:tr>
      <w:tr>
        <w:tc>
          <w:tcPr>
            <w:tcW w:type="dxa" w:w="1007"/>
            <w:tcMar>
              <w:top w:w="110" w:type="dxa"/>
              <w:start w:w="125" w:type="dxa"/>
              <w:bottom w:w="110" w:type="dxa"/>
              <w:end w:w="125" w:type="dxa"/>
            </w:tcMar>
            <w:vAlign w:val="center"/>
          </w:tcPr>
          <w:p>
            <w:pPr>
              <w:spacing w:after="0" w:line="247" w:lineRule="auto"/>
            </w:pPr>
            <w:r>
              <w:rPr>
                <w:color w:val="26323A"/>
                <w:sz w:val="17"/>
              </w:rPr>
              <w:t>5</w:t>
            </w:r>
          </w:p>
        </w:tc>
        <w:tc>
          <w:tcPr>
            <w:tcW w:type="dxa" w:w="2088"/>
            <w:tcMar>
              <w:top w:w="110" w:type="dxa"/>
              <w:start w:w="125" w:type="dxa"/>
              <w:bottom w:w="110" w:type="dxa"/>
              <w:end w:w="125" w:type="dxa"/>
            </w:tcMar>
            <w:vAlign w:val="center"/>
          </w:tcPr>
          <w:p>
            <w:pPr>
              <w:spacing w:after="0" w:line="247" w:lineRule="auto"/>
            </w:pPr>
            <w:r>
              <w:rPr>
                <w:color w:val="26323A"/>
                <w:sz w:val="17"/>
              </w:rPr>
              <w:t>Contentful / Sanity</w:t>
            </w:r>
          </w:p>
        </w:tc>
        <w:tc>
          <w:tcPr>
            <w:tcW w:type="dxa" w:w="4824"/>
            <w:tcMar>
              <w:top w:w="110" w:type="dxa"/>
              <w:start w:w="125" w:type="dxa"/>
              <w:bottom w:w="110" w:type="dxa"/>
              <w:end w:w="125" w:type="dxa"/>
            </w:tcMar>
            <w:vAlign w:val="center"/>
          </w:tcPr>
          <w:p>
            <w:pPr>
              <w:spacing w:after="0" w:line="247" w:lineRule="auto"/>
            </w:pPr>
            <w:r>
              <w:rPr>
                <w:color w:val="26323A"/>
                <w:sz w:val="17"/>
              </w:rPr>
              <w:t>Important enterprise/headless systems but less museum-specific.</w:t>
            </w:r>
          </w:p>
        </w:tc>
        <w:tc>
          <w:tcPr>
            <w:tcW w:type="dxa" w:w="2448"/>
            <w:tcMar>
              <w:top w:w="110" w:type="dxa"/>
              <w:start w:w="125" w:type="dxa"/>
              <w:bottom w:w="110" w:type="dxa"/>
              <w:end w:w="125" w:type="dxa"/>
            </w:tcMar>
            <w:vAlign w:val="center"/>
          </w:tcPr>
          <w:p>
            <w:pPr>
              <w:spacing w:after="0" w:line="247" w:lineRule="auto"/>
            </w:pPr>
            <w:r>
              <w:rPr>
                <w:color w:val="26323A"/>
                <w:sz w:val="17"/>
              </w:rPr>
              <w:t>Client-driven</w:t>
            </w:r>
          </w:p>
        </w:tc>
      </w:tr>
      <w:tr>
        <w:tc>
          <w:tcPr>
            <w:tcW w:type="dxa" w:w="1007"/>
            <w:tcMar>
              <w:top w:w="110" w:type="dxa"/>
              <w:start w:w="125" w:type="dxa"/>
              <w:bottom w:w="110" w:type="dxa"/>
              <w:end w:w="125" w:type="dxa"/>
            </w:tcMar>
            <w:vAlign w:val="center"/>
          </w:tcPr>
          <w:p>
            <w:pPr>
              <w:spacing w:after="0" w:line="247" w:lineRule="auto"/>
            </w:pPr>
            <w:r>
              <w:rPr>
                <w:color w:val="26323A"/>
                <w:sz w:val="17"/>
              </w:rPr>
              <w:t>6</w:t>
            </w:r>
          </w:p>
        </w:tc>
        <w:tc>
          <w:tcPr>
            <w:tcW w:type="dxa" w:w="2088"/>
            <w:tcMar>
              <w:top w:w="110" w:type="dxa"/>
              <w:start w:w="125" w:type="dxa"/>
              <w:bottom w:w="110" w:type="dxa"/>
              <w:end w:w="125" w:type="dxa"/>
            </w:tcMar>
            <w:vAlign w:val="center"/>
          </w:tcPr>
          <w:p>
            <w:pPr>
              <w:spacing w:after="0" w:line="247" w:lineRule="auto"/>
            </w:pPr>
            <w:r>
              <w:rPr>
                <w:color w:val="26323A"/>
                <w:sz w:val="17"/>
              </w:rPr>
              <w:t>TMS / MuseumPlus / Axiell / CollectionSpace</w:t>
            </w:r>
          </w:p>
        </w:tc>
        <w:tc>
          <w:tcPr>
            <w:tcW w:type="dxa" w:w="4824"/>
            <w:tcMar>
              <w:top w:w="110" w:type="dxa"/>
              <w:start w:w="125" w:type="dxa"/>
              <w:bottom w:w="110" w:type="dxa"/>
              <w:end w:w="125" w:type="dxa"/>
            </w:tcMar>
            <w:vAlign w:val="center"/>
          </w:tcPr>
          <w:p>
            <w:pPr>
              <w:spacing w:after="0" w:line="247" w:lineRule="auto"/>
            </w:pPr>
            <w:r>
              <w:rPr>
                <w:color w:val="26323A"/>
                <w:sz w:val="17"/>
              </w:rPr>
              <w:t>True collection-management systems; highest strategic enterprise value but vendor APIs and client configurations vary.</w:t>
            </w:r>
          </w:p>
        </w:tc>
        <w:tc>
          <w:tcPr>
            <w:tcW w:type="dxa" w:w="2448"/>
            <w:tcMar>
              <w:top w:w="110" w:type="dxa"/>
              <w:start w:w="125" w:type="dxa"/>
              <w:bottom w:w="110" w:type="dxa"/>
              <w:end w:w="125" w:type="dxa"/>
            </w:tcMar>
            <w:vAlign w:val="center"/>
          </w:tcPr>
          <w:p>
            <w:pPr>
              <w:spacing w:after="0" w:line="247" w:lineRule="auto"/>
            </w:pPr>
            <w:r>
              <w:rPr>
                <w:color w:val="26323A"/>
                <w:sz w:val="17"/>
              </w:rPr>
              <w:t>Strategic v2.x / project-based</w:t>
            </w:r>
          </w:p>
        </w:tc>
      </w:tr>
    </w:tbl>
    <w:p>
      <w:pPr>
        <w:spacing w:after="40"/>
      </w:pPr>
    </w:p>
    <w:p>
      <w:r>
        <w:t>Drupal is the best first proof that MAG is CMS-agnostic. Omeka S is likely the most culturally specific integration. Collection-management systems represent the highest-value enterprise direction because they can eliminate manual duplication between authoritative collection records and visitor-guide content.</w:t>
      </w:r>
    </w:p>
    <w:p>
      <w:pPr>
        <w:pStyle w:val="Title"/>
      </w:pPr>
      <w:r>
        <w:t>16. Go-to-market implications</w:t>
      </w:r>
    </w:p>
    <w:p>
      <w:pPr>
        <w:pStyle w:val="Heading1"/>
      </w:pPr>
      <w:r>
        <w:t>16.1 Change the language of the offer</w:t>
      </w:r>
    </w:p>
    <w:p>
      <w:r>
        <w:t>Avoid leading with "WordPress plugin". The museum buys a visitor platform, integration and support. WordPress can be described in technical documentation as one supported deployment environment.</w:t>
      </w:r>
    </w:p>
    <w:p>
      <w:pPr>
        <w:pStyle w:val="Heading1"/>
      </w:pPr>
      <w:r>
        <w:t>16.2 Proposed naming hierarchy</w:t>
      </w:r>
    </w:p>
    <w:tbl>
      <w:tblPr>
        <w:tblStyle w:val="TableGrid"/>
        <w:tblW w:type="auto" w:w="0"/>
        <w:jc w:val="center"/>
        <w:tblLook w:firstColumn="1" w:firstRow="1" w:lastColumn="0" w:lastRow="0" w:noHBand="0" w:noVBand="1" w:val="04A0"/>
      </w:tblPr>
      <w:tblGrid>
        <w:gridCol w:w="5026"/>
        <w:gridCol w:w="5026"/>
      </w:tblGrid>
      <w:tr>
        <w:trPr>
          <w:tblHeader w:val="true"/>
        </w:trPr>
        <w:tc>
          <w:tcPr>
            <w:tcW w:type="dxa" w:w="3456"/>
            <w:shd w:fill="173A52"/>
            <w:tcMar>
              <w:top w:w="110" w:type="dxa"/>
              <w:start w:w="125" w:type="dxa"/>
              <w:bottom w:w="110" w:type="dxa"/>
              <w:end w:w="125" w:type="dxa"/>
            </w:tcMar>
            <w:vAlign w:val="center"/>
          </w:tcPr>
          <w:p>
            <w:r>
              <w:rPr>
                <w:b/>
                <w:color w:val="FFFFFF"/>
                <w:sz w:val="17"/>
              </w:rPr>
              <w:t>Layer</w:t>
            </w:r>
          </w:p>
        </w:tc>
        <w:tc>
          <w:tcPr>
            <w:tcW w:type="dxa" w:w="6768"/>
            <w:shd w:fill="173A52"/>
            <w:tcMar>
              <w:top w:w="110" w:type="dxa"/>
              <w:start w:w="125" w:type="dxa"/>
              <w:bottom w:w="110" w:type="dxa"/>
              <w:end w:w="125" w:type="dxa"/>
            </w:tcMar>
            <w:vAlign w:val="center"/>
          </w:tcPr>
          <w:p>
            <w:r>
              <w:rPr>
                <w:b/>
                <w:color w:val="FFFFFF"/>
                <w:sz w:val="17"/>
              </w:rPr>
              <w:t>Suggested name</w:t>
            </w:r>
          </w:p>
        </w:tc>
      </w:tr>
      <w:tr>
        <w:tc>
          <w:tcPr>
            <w:tcW w:type="dxa" w:w="3456"/>
            <w:tcMar>
              <w:top w:w="110" w:type="dxa"/>
              <w:start w:w="125" w:type="dxa"/>
              <w:bottom w:w="110" w:type="dxa"/>
              <w:end w:w="125" w:type="dxa"/>
            </w:tcMar>
            <w:vAlign w:val="center"/>
          </w:tcPr>
          <w:p>
            <w:pPr>
              <w:spacing w:after="0" w:line="247" w:lineRule="auto"/>
            </w:pPr>
            <w:r>
              <w:rPr>
                <w:color w:val="26323A"/>
                <w:sz w:val="17"/>
              </w:rPr>
              <w:t>Commercial product</w:t>
            </w:r>
          </w:p>
        </w:tc>
        <w:tc>
          <w:tcPr>
            <w:tcW w:type="dxa" w:w="6768"/>
            <w:tcMar>
              <w:top w:w="110" w:type="dxa"/>
              <w:start w:w="125" w:type="dxa"/>
              <w:bottom w:w="110" w:type="dxa"/>
              <w:end w:w="125" w:type="dxa"/>
            </w:tcMar>
            <w:vAlign w:val="center"/>
          </w:tcPr>
          <w:p>
            <w:pPr>
              <w:spacing w:after="0" w:line="247" w:lineRule="auto"/>
            </w:pPr>
            <w:r>
              <w:rPr>
                <w:color w:val="26323A"/>
                <w:sz w:val="17"/>
              </w:rPr>
              <w:t>MAG - Digital Visitor Platform for Museums</w:t>
            </w:r>
          </w:p>
        </w:tc>
      </w:tr>
      <w:tr>
        <w:tc>
          <w:tcPr>
            <w:tcW w:type="dxa" w:w="3456"/>
            <w:tcMar>
              <w:top w:w="110" w:type="dxa"/>
              <w:start w:w="125" w:type="dxa"/>
              <w:bottom w:w="110" w:type="dxa"/>
              <w:end w:w="125" w:type="dxa"/>
            </w:tcMar>
            <w:vAlign w:val="center"/>
          </w:tcPr>
          <w:p>
            <w:pPr>
              <w:spacing w:after="0" w:line="247" w:lineRule="auto"/>
            </w:pPr>
            <w:r>
              <w:rPr>
                <w:color w:val="26323A"/>
                <w:sz w:val="17"/>
              </w:rPr>
              <w:t>Current deployment connector</w:t>
            </w:r>
          </w:p>
        </w:tc>
        <w:tc>
          <w:tcPr>
            <w:tcW w:type="dxa" w:w="6768"/>
            <w:tcMar>
              <w:top w:w="110" w:type="dxa"/>
              <w:start w:w="125" w:type="dxa"/>
              <w:bottom w:w="110" w:type="dxa"/>
              <w:end w:w="125" w:type="dxa"/>
            </w:tcMar>
            <w:vAlign w:val="center"/>
          </w:tcPr>
          <w:p>
            <w:pPr>
              <w:spacing w:after="0" w:line="247" w:lineRule="auto"/>
            </w:pPr>
            <w:r>
              <w:rPr>
                <w:color w:val="26323A"/>
                <w:sz w:val="17"/>
              </w:rPr>
              <w:t>MAG WordPress Connector</w:t>
            </w:r>
          </w:p>
        </w:tc>
      </w:tr>
      <w:tr>
        <w:tc>
          <w:tcPr>
            <w:tcW w:type="dxa" w:w="3456"/>
            <w:tcMar>
              <w:top w:w="110" w:type="dxa"/>
              <w:start w:w="125" w:type="dxa"/>
              <w:bottom w:w="110" w:type="dxa"/>
              <w:end w:w="125" w:type="dxa"/>
            </w:tcMar>
            <w:vAlign w:val="center"/>
          </w:tcPr>
          <w:p>
            <w:pPr>
              <w:spacing w:after="0" w:line="247" w:lineRule="auto"/>
            </w:pPr>
            <w:r>
              <w:rPr>
                <w:color w:val="26323A"/>
                <w:sz w:val="17"/>
              </w:rPr>
              <w:t>Future integration</w:t>
            </w:r>
          </w:p>
        </w:tc>
        <w:tc>
          <w:tcPr>
            <w:tcW w:type="dxa" w:w="6768"/>
            <w:tcMar>
              <w:top w:w="110" w:type="dxa"/>
              <w:start w:w="125" w:type="dxa"/>
              <w:bottom w:w="110" w:type="dxa"/>
              <w:end w:w="125" w:type="dxa"/>
            </w:tcMar>
            <w:vAlign w:val="center"/>
          </w:tcPr>
          <w:p>
            <w:pPr>
              <w:spacing w:after="0" w:line="247" w:lineRule="auto"/>
            </w:pPr>
            <w:r>
              <w:rPr>
                <w:color w:val="26323A"/>
                <w:sz w:val="17"/>
              </w:rPr>
              <w:t>MAG Drupal Connector / MAG Omeka Connector / MAG Directus Connector</w:t>
            </w:r>
          </w:p>
        </w:tc>
      </w:tr>
      <w:tr>
        <w:tc>
          <w:tcPr>
            <w:tcW w:type="dxa" w:w="3456"/>
            <w:tcMar>
              <w:top w:w="110" w:type="dxa"/>
              <w:start w:w="125" w:type="dxa"/>
              <w:bottom w:w="110" w:type="dxa"/>
              <w:end w:w="125" w:type="dxa"/>
            </w:tcMar>
            <w:vAlign w:val="center"/>
          </w:tcPr>
          <w:p>
            <w:pPr>
              <w:spacing w:after="0" w:line="247" w:lineRule="auto"/>
            </w:pPr>
            <w:r>
              <w:rPr>
                <w:color w:val="26323A"/>
                <w:sz w:val="17"/>
              </w:rPr>
              <w:t>Visitor application</w:t>
            </w:r>
          </w:p>
        </w:tc>
        <w:tc>
          <w:tcPr>
            <w:tcW w:type="dxa" w:w="6768"/>
            <w:tcMar>
              <w:top w:w="110" w:type="dxa"/>
              <w:start w:w="125" w:type="dxa"/>
              <w:bottom w:w="110" w:type="dxa"/>
              <w:end w:w="125" w:type="dxa"/>
            </w:tcMar>
            <w:vAlign w:val="center"/>
          </w:tcPr>
          <w:p>
            <w:pPr>
              <w:spacing w:after="0" w:line="247" w:lineRule="auto"/>
            </w:pPr>
            <w:r>
              <w:rPr>
                <w:color w:val="26323A"/>
                <w:sz w:val="17"/>
              </w:rPr>
              <w:t>MAG Guide</w:t>
            </w:r>
          </w:p>
        </w:tc>
      </w:tr>
      <w:tr>
        <w:tc>
          <w:tcPr>
            <w:tcW w:type="dxa" w:w="3456"/>
            <w:tcMar>
              <w:top w:w="110" w:type="dxa"/>
              <w:start w:w="125" w:type="dxa"/>
              <w:bottom w:w="110" w:type="dxa"/>
              <w:end w:w="125" w:type="dxa"/>
            </w:tcMar>
            <w:vAlign w:val="center"/>
          </w:tcPr>
          <w:p>
            <w:pPr>
              <w:spacing w:after="0" w:line="247" w:lineRule="auto"/>
            </w:pPr>
            <w:r>
              <w:rPr>
                <w:color w:val="26323A"/>
                <w:sz w:val="17"/>
              </w:rPr>
              <w:t>Core normalized model/API</w:t>
            </w:r>
          </w:p>
        </w:tc>
        <w:tc>
          <w:tcPr>
            <w:tcW w:type="dxa" w:w="6768"/>
            <w:tcMar>
              <w:top w:w="110" w:type="dxa"/>
              <w:start w:w="125" w:type="dxa"/>
              <w:bottom w:w="110" w:type="dxa"/>
              <w:end w:w="125" w:type="dxa"/>
            </w:tcMar>
            <w:vAlign w:val="center"/>
          </w:tcPr>
          <w:p>
            <w:pPr>
              <w:spacing w:after="0" w:line="247" w:lineRule="auto"/>
            </w:pPr>
            <w:r>
              <w:rPr>
                <w:color w:val="26323A"/>
                <w:sz w:val="17"/>
              </w:rPr>
              <w:t>MAG Core / MAG Data Contract</w:t>
            </w:r>
          </w:p>
        </w:tc>
      </w:tr>
    </w:tbl>
    <w:p>
      <w:pPr>
        <w:spacing w:after="40"/>
      </w:pPr>
    </w:p>
    <w:p>
      <w:pPr>
        <w:pStyle w:val="Heading1"/>
      </w:pPr>
      <w:r>
        <w:t>16.3 Enterprise proof points to develop</w:t>
      </w:r>
    </w:p>
    <w:p>
      <w:pPr>
        <w:pStyle w:val="ListBullet"/>
        <w:spacing w:after="60"/>
      </w:pPr>
      <w:r>
        <w:t>Security and privacy documentation</w:t>
      </w:r>
    </w:p>
    <w:p>
      <w:pPr>
        <w:pStyle w:val="ListBullet"/>
        <w:spacing w:after="60"/>
      </w:pPr>
      <w:r>
        <w:t>Backup/restore and disaster-recovery guidance</w:t>
      </w:r>
    </w:p>
    <w:p>
      <w:pPr>
        <w:pStyle w:val="ListBullet"/>
        <w:spacing w:after="60"/>
      </w:pPr>
      <w:r>
        <w:t>SLA definitions</w:t>
      </w:r>
    </w:p>
    <w:p>
      <w:pPr>
        <w:pStyle w:val="ListBullet"/>
        <w:spacing w:after="60"/>
      </w:pPr>
      <w:r>
        <w:t>Accessibility conformance documentation</w:t>
      </w:r>
    </w:p>
    <w:p>
      <w:pPr>
        <w:pStyle w:val="ListBullet"/>
        <w:spacing w:after="60"/>
      </w:pPr>
      <w:r>
        <w:t>Upgrade policy and long-term support policy</w:t>
      </w:r>
    </w:p>
    <w:p>
      <w:pPr>
        <w:pStyle w:val="ListBullet"/>
        <w:spacing w:after="60"/>
      </w:pPr>
      <w:r>
        <w:t>API/versioning policy</w:t>
      </w:r>
    </w:p>
    <w:p>
      <w:pPr>
        <w:pStyle w:val="ListBullet"/>
        <w:spacing w:after="60"/>
      </w:pPr>
      <w:r>
        <w:t>Data export / exit strategy</w:t>
      </w:r>
    </w:p>
    <w:p>
      <w:pPr>
        <w:pStyle w:val="ListBullet"/>
        <w:spacing w:after="60"/>
      </w:pPr>
      <w:r>
        <w:t>Procurement-ready technical specification</w:t>
      </w:r>
    </w:p>
    <w:p>
      <w:pPr>
        <w:pStyle w:val="ListBullet"/>
        <w:spacing w:after="60"/>
      </w:pPr>
      <w:r>
        <w:t>Reference deployments and usage metrics</w:t>
      </w:r>
    </w:p>
    <w:p>
      <w:pPr>
        <w:pStyle w:val="Title"/>
      </w:pPr>
      <w:r>
        <w:t>17. Recommended 12-24 month plan</w:t>
      </w:r>
    </w:p>
    <w:tbl>
      <w:tblPr>
        <w:tblStyle w:val="TableGrid"/>
        <w:tblW w:type="auto" w:w="0"/>
        <w:jc w:val="center"/>
        <w:tblLook w:firstColumn="1" w:firstRow="1" w:lastColumn="0" w:lastRow="0" w:noHBand="0" w:noVBand="1" w:val="04A0"/>
      </w:tblPr>
      <w:tblGrid>
        <w:gridCol w:w="3351"/>
        <w:gridCol w:w="3351"/>
        <w:gridCol w:w="3351"/>
      </w:tblGrid>
      <w:tr>
        <w:trPr>
          <w:tblHeader w:val="true"/>
        </w:trPr>
        <w:tc>
          <w:tcPr>
            <w:tcW w:type="dxa" w:w="1440"/>
            <w:shd w:fill="173A52"/>
            <w:tcMar>
              <w:top w:w="110" w:type="dxa"/>
              <w:start w:w="125" w:type="dxa"/>
              <w:bottom w:w="110" w:type="dxa"/>
              <w:end w:w="125" w:type="dxa"/>
            </w:tcMar>
            <w:vAlign w:val="center"/>
          </w:tcPr>
          <w:p>
            <w:r>
              <w:rPr>
                <w:b/>
                <w:color w:val="FFFFFF"/>
                <w:sz w:val="17"/>
              </w:rPr>
              <w:t>Phase</w:t>
            </w:r>
          </w:p>
        </w:tc>
        <w:tc>
          <w:tcPr>
            <w:tcW w:type="dxa" w:w="5040"/>
            <w:shd w:fill="173A52"/>
            <w:tcMar>
              <w:top w:w="110" w:type="dxa"/>
              <w:start w:w="125" w:type="dxa"/>
              <w:bottom w:w="110" w:type="dxa"/>
              <w:end w:w="125" w:type="dxa"/>
            </w:tcMar>
            <w:vAlign w:val="center"/>
          </w:tcPr>
          <w:p>
            <w:r>
              <w:rPr>
                <w:b/>
                <w:color w:val="FFFFFF"/>
                <w:sz w:val="17"/>
              </w:rPr>
              <w:t>Product work</w:t>
            </w:r>
          </w:p>
        </w:tc>
        <w:tc>
          <w:tcPr>
            <w:tcW w:type="dxa" w:w="4464"/>
            <w:shd w:fill="173A52"/>
            <w:tcMar>
              <w:top w:w="110" w:type="dxa"/>
              <w:start w:w="125" w:type="dxa"/>
              <w:bottom w:w="110" w:type="dxa"/>
              <w:end w:w="125" w:type="dxa"/>
            </w:tcMar>
            <w:vAlign w:val="center"/>
          </w:tcPr>
          <w:p>
            <w:r>
              <w:rPr>
                <w:b/>
                <w:color w:val="FFFFFF"/>
                <w:sz w:val="17"/>
              </w:rPr>
              <w:t>Commercial outcome</w:t>
            </w:r>
          </w:p>
        </w:tc>
      </w:tr>
      <w:tr>
        <w:tc>
          <w:tcPr>
            <w:tcW w:type="dxa" w:w="1440"/>
            <w:tcMar>
              <w:top w:w="110" w:type="dxa"/>
              <w:start w:w="125" w:type="dxa"/>
              <w:bottom w:w="110" w:type="dxa"/>
              <w:end w:w="125" w:type="dxa"/>
            </w:tcMar>
            <w:vAlign w:val="center"/>
          </w:tcPr>
          <w:p>
            <w:pPr>
              <w:spacing w:after="0" w:line="247" w:lineRule="auto"/>
            </w:pPr>
            <w:r>
              <w:rPr>
                <w:color w:val="26323A"/>
                <w:sz w:val="17"/>
              </w:rPr>
              <w:t>0-3 months</w:t>
            </w:r>
          </w:p>
        </w:tc>
        <w:tc>
          <w:tcPr>
            <w:tcW w:type="dxa" w:w="5040"/>
            <w:tcMar>
              <w:top w:w="110" w:type="dxa"/>
              <w:start w:w="125" w:type="dxa"/>
              <w:bottom w:w="110" w:type="dxa"/>
              <w:end w:w="125" w:type="dxa"/>
            </w:tcMar>
            <w:vAlign w:val="center"/>
          </w:tcPr>
          <w:p>
            <w:pPr>
              <w:spacing w:after="0" w:line="247" w:lineRule="auto"/>
            </w:pPr>
            <w:r>
              <w:rPr>
                <w:color w:val="26323A"/>
                <w:sz w:val="17"/>
              </w:rPr>
              <w:t>Floor system; multilingual provider abstraction; polish v1.x QA and documentation.</w:t>
            </w:r>
          </w:p>
        </w:tc>
        <w:tc>
          <w:tcPr>
            <w:tcW w:type="dxa" w:w="4464"/>
            <w:tcMar>
              <w:top w:w="110" w:type="dxa"/>
              <w:start w:w="125" w:type="dxa"/>
              <w:bottom w:w="110" w:type="dxa"/>
              <w:end w:w="125" w:type="dxa"/>
            </w:tcMar>
            <w:vAlign w:val="center"/>
          </w:tcPr>
          <w:p>
            <w:pPr>
              <w:spacing w:after="0" w:line="247" w:lineRule="auto"/>
            </w:pPr>
            <w:r>
              <w:rPr>
                <w:color w:val="26323A"/>
                <w:sz w:val="17"/>
              </w:rPr>
              <w:t>Stable multilingual museum deployment.</w:t>
            </w:r>
          </w:p>
        </w:tc>
      </w:tr>
      <w:tr>
        <w:tc>
          <w:tcPr>
            <w:tcW w:type="dxa" w:w="1440"/>
            <w:tcMar>
              <w:top w:w="110" w:type="dxa"/>
              <w:start w:w="125" w:type="dxa"/>
              <w:bottom w:w="110" w:type="dxa"/>
              <w:end w:w="125" w:type="dxa"/>
            </w:tcMar>
            <w:vAlign w:val="center"/>
          </w:tcPr>
          <w:p>
            <w:pPr>
              <w:spacing w:after="0" w:line="247" w:lineRule="auto"/>
            </w:pPr>
            <w:r>
              <w:rPr>
                <w:color w:val="26323A"/>
                <w:sz w:val="17"/>
              </w:rPr>
              <w:t>3-6 months</w:t>
            </w:r>
          </w:p>
        </w:tc>
        <w:tc>
          <w:tcPr>
            <w:tcW w:type="dxa" w:w="5040"/>
            <w:tcMar>
              <w:top w:w="110" w:type="dxa"/>
              <w:start w:w="125" w:type="dxa"/>
              <w:bottom w:w="110" w:type="dxa"/>
              <w:end w:w="125" w:type="dxa"/>
            </w:tcMar>
            <w:vAlign w:val="center"/>
          </w:tcPr>
          <w:p>
            <w:pPr>
              <w:spacing w:after="0" w:line="247" w:lineRule="auto"/>
            </w:pPr>
            <w:r>
              <w:rPr>
                <w:color w:val="26323A"/>
                <w:sz w:val="17"/>
              </w:rPr>
              <w:t>PWA/offline; enterprise workflow; security/backup documentation.</w:t>
            </w:r>
          </w:p>
        </w:tc>
        <w:tc>
          <w:tcPr>
            <w:tcW w:type="dxa" w:w="4464"/>
            <w:tcMar>
              <w:top w:w="110" w:type="dxa"/>
              <w:start w:w="125" w:type="dxa"/>
              <w:bottom w:w="110" w:type="dxa"/>
              <w:end w:w="125" w:type="dxa"/>
            </w:tcMar>
            <w:vAlign w:val="center"/>
          </w:tcPr>
          <w:p>
            <w:pPr>
              <w:spacing w:after="0" w:line="247" w:lineRule="auto"/>
            </w:pPr>
            <w:r>
              <w:rPr>
                <w:color w:val="26323A"/>
                <w:sz w:val="17"/>
              </w:rPr>
              <w:t>Procurement-ready core for large museums.</w:t>
            </w:r>
          </w:p>
        </w:tc>
      </w:tr>
      <w:tr>
        <w:tc>
          <w:tcPr>
            <w:tcW w:type="dxa" w:w="1440"/>
            <w:tcMar>
              <w:top w:w="110" w:type="dxa"/>
              <w:start w:w="125" w:type="dxa"/>
              <w:bottom w:w="110" w:type="dxa"/>
              <w:end w:w="125" w:type="dxa"/>
            </w:tcMar>
            <w:vAlign w:val="center"/>
          </w:tcPr>
          <w:p>
            <w:pPr>
              <w:spacing w:after="0" w:line="247" w:lineRule="auto"/>
            </w:pPr>
            <w:r>
              <w:rPr>
                <w:color w:val="26323A"/>
                <w:sz w:val="17"/>
              </w:rPr>
              <w:t>6-9 months</w:t>
            </w:r>
          </w:p>
        </w:tc>
        <w:tc>
          <w:tcPr>
            <w:tcW w:type="dxa" w:w="5040"/>
            <w:tcMar>
              <w:top w:w="110" w:type="dxa"/>
              <w:start w:w="125" w:type="dxa"/>
              <w:bottom w:w="110" w:type="dxa"/>
              <w:end w:w="125" w:type="dxa"/>
            </w:tcMar>
            <w:vAlign w:val="center"/>
          </w:tcPr>
          <w:p>
            <w:pPr>
              <w:spacing w:after="0" w:line="247" w:lineRule="auto"/>
            </w:pPr>
            <w:r>
              <w:rPr>
                <w:color w:val="26323A"/>
                <w:sz w:val="17"/>
              </w:rPr>
              <w:t>Advanced analytics; commerce/access control; first premium pilot.</w:t>
            </w:r>
          </w:p>
        </w:tc>
        <w:tc>
          <w:tcPr>
            <w:tcW w:type="dxa" w:w="4464"/>
            <w:tcMar>
              <w:top w:w="110" w:type="dxa"/>
              <w:start w:w="125" w:type="dxa"/>
              <w:bottom w:w="110" w:type="dxa"/>
              <w:end w:w="125" w:type="dxa"/>
            </w:tcMar>
            <w:vAlign w:val="center"/>
          </w:tcPr>
          <w:p>
            <w:pPr>
              <w:spacing w:after="0" w:line="247" w:lineRule="auto"/>
            </w:pPr>
            <w:r>
              <w:rPr>
                <w:color w:val="26323A"/>
                <w:sz w:val="17"/>
              </w:rPr>
              <w:t>Measurable ROI and monetization.</w:t>
            </w:r>
          </w:p>
        </w:tc>
      </w:tr>
      <w:tr>
        <w:tc>
          <w:tcPr>
            <w:tcW w:type="dxa" w:w="1440"/>
            <w:tcMar>
              <w:top w:w="110" w:type="dxa"/>
              <w:start w:w="125" w:type="dxa"/>
              <w:bottom w:w="110" w:type="dxa"/>
              <w:end w:w="125" w:type="dxa"/>
            </w:tcMar>
            <w:vAlign w:val="center"/>
          </w:tcPr>
          <w:p>
            <w:pPr>
              <w:spacing w:after="0" w:line="247" w:lineRule="auto"/>
            </w:pPr>
            <w:r>
              <w:rPr>
                <w:color w:val="26323A"/>
                <w:sz w:val="17"/>
              </w:rPr>
              <w:t>9-12 months</w:t>
            </w:r>
          </w:p>
        </w:tc>
        <w:tc>
          <w:tcPr>
            <w:tcW w:type="dxa" w:w="5040"/>
            <w:tcMar>
              <w:top w:w="110" w:type="dxa"/>
              <w:start w:w="125" w:type="dxa"/>
              <w:bottom w:w="110" w:type="dxa"/>
              <w:end w:w="125" w:type="dxa"/>
            </w:tcMar>
            <w:vAlign w:val="center"/>
          </w:tcPr>
          <w:p>
            <w:pPr>
              <w:spacing w:after="0" w:line="247" w:lineRule="auto"/>
            </w:pPr>
            <w:r>
              <w:rPr>
                <w:color w:val="26323A"/>
                <w:sz w:val="17"/>
              </w:rPr>
              <w:t>AI curator tools; API/webhooks; stronger integration toolkit.</w:t>
            </w:r>
          </w:p>
        </w:tc>
        <w:tc>
          <w:tcPr>
            <w:tcW w:type="dxa" w:w="4464"/>
            <w:tcMar>
              <w:top w:w="110" w:type="dxa"/>
              <w:start w:w="125" w:type="dxa"/>
              <w:bottom w:w="110" w:type="dxa"/>
              <w:end w:w="125" w:type="dxa"/>
            </w:tcMar>
            <w:vAlign w:val="center"/>
          </w:tcPr>
          <w:p>
            <w:pPr>
              <w:spacing w:after="0" w:line="247" w:lineRule="auto"/>
            </w:pPr>
            <w:r>
              <w:rPr>
                <w:color w:val="26323A"/>
                <w:sz w:val="17"/>
              </w:rPr>
              <w:t>Operational efficiency and premium add-ons.</w:t>
            </w:r>
          </w:p>
        </w:tc>
      </w:tr>
      <w:tr>
        <w:tc>
          <w:tcPr>
            <w:tcW w:type="dxa" w:w="1440"/>
            <w:tcMar>
              <w:top w:w="110" w:type="dxa"/>
              <w:start w:w="125" w:type="dxa"/>
              <w:bottom w:w="110" w:type="dxa"/>
              <w:end w:w="125" w:type="dxa"/>
            </w:tcMar>
            <w:vAlign w:val="center"/>
          </w:tcPr>
          <w:p>
            <w:pPr>
              <w:spacing w:after="0" w:line="247" w:lineRule="auto"/>
            </w:pPr>
            <w:r>
              <w:rPr>
                <w:color w:val="26323A"/>
                <w:sz w:val="17"/>
              </w:rPr>
              <w:t>12-18 months</w:t>
            </w:r>
          </w:p>
        </w:tc>
        <w:tc>
          <w:tcPr>
            <w:tcW w:type="dxa" w:w="5040"/>
            <w:tcMar>
              <w:top w:w="110" w:type="dxa"/>
              <w:start w:w="125" w:type="dxa"/>
              <w:bottom w:w="110" w:type="dxa"/>
              <w:end w:w="125" w:type="dxa"/>
            </w:tcMar>
            <w:vAlign w:val="center"/>
          </w:tcPr>
          <w:p>
            <w:pPr>
              <w:spacing w:after="0" w:line="247" w:lineRule="auto"/>
            </w:pPr>
            <w:r>
              <w:rPr>
                <w:color w:val="26323A"/>
                <w:sz w:val="17"/>
              </w:rPr>
              <w:t>Visitor AI; personalized tours; formal MAG Data Contract.</w:t>
            </w:r>
          </w:p>
        </w:tc>
        <w:tc>
          <w:tcPr>
            <w:tcW w:type="dxa" w:w="4464"/>
            <w:tcMar>
              <w:top w:w="110" w:type="dxa"/>
              <w:start w:w="125" w:type="dxa"/>
              <w:bottom w:w="110" w:type="dxa"/>
              <w:end w:w="125" w:type="dxa"/>
            </w:tcMar>
            <w:vAlign w:val="center"/>
          </w:tcPr>
          <w:p>
            <w:pPr>
              <w:spacing w:after="0" w:line="247" w:lineRule="auto"/>
            </w:pPr>
            <w:r>
              <w:rPr>
                <w:color w:val="26323A"/>
                <w:sz w:val="17"/>
              </w:rPr>
              <w:t>Clear differentiation from standard guide products.</w:t>
            </w:r>
          </w:p>
        </w:tc>
      </w:tr>
      <w:tr>
        <w:tc>
          <w:tcPr>
            <w:tcW w:type="dxa" w:w="1440"/>
            <w:tcMar>
              <w:top w:w="110" w:type="dxa"/>
              <w:start w:w="125" w:type="dxa"/>
              <w:bottom w:w="110" w:type="dxa"/>
              <w:end w:w="125" w:type="dxa"/>
            </w:tcMar>
            <w:vAlign w:val="center"/>
          </w:tcPr>
          <w:p>
            <w:pPr>
              <w:spacing w:after="0" w:line="247" w:lineRule="auto"/>
            </w:pPr>
            <w:r>
              <w:rPr>
                <w:color w:val="26323A"/>
                <w:sz w:val="17"/>
              </w:rPr>
              <w:t>18-24 months</w:t>
            </w:r>
          </w:p>
        </w:tc>
        <w:tc>
          <w:tcPr>
            <w:tcW w:type="dxa" w:w="5040"/>
            <w:tcMar>
              <w:top w:w="110" w:type="dxa"/>
              <w:start w:w="125" w:type="dxa"/>
              <w:bottom w:w="110" w:type="dxa"/>
              <w:end w:w="125" w:type="dxa"/>
            </w:tcMar>
            <w:vAlign w:val="center"/>
          </w:tcPr>
          <w:p>
            <w:pPr>
              <w:spacing w:after="0" w:line="247" w:lineRule="auto"/>
            </w:pPr>
            <w:r>
              <w:rPr>
                <w:color w:val="26323A"/>
                <w:sz w:val="17"/>
              </w:rPr>
              <w:t>Drupal + Omeka/Directus adapters; begin collection-system integrations.</w:t>
            </w:r>
          </w:p>
        </w:tc>
        <w:tc>
          <w:tcPr>
            <w:tcW w:type="dxa" w:w="4464"/>
            <w:tcMar>
              <w:top w:w="110" w:type="dxa"/>
              <w:start w:w="125" w:type="dxa"/>
              <w:bottom w:w="110" w:type="dxa"/>
              <w:end w:w="125" w:type="dxa"/>
            </w:tcMar>
            <w:vAlign w:val="center"/>
          </w:tcPr>
          <w:p>
            <w:pPr>
              <w:spacing w:after="0" w:line="247" w:lineRule="auto"/>
            </w:pPr>
            <w:r>
              <w:rPr>
                <w:color w:val="26323A"/>
                <w:sz w:val="17"/>
              </w:rPr>
              <w:t>CMS-agnostic enterprise platform and larger addressable market.</w:t>
            </w:r>
          </w:p>
        </w:tc>
      </w:tr>
    </w:tbl>
    <w:p>
      <w:pPr>
        <w:spacing w:after="40"/>
      </w:pPr>
    </w:p>
    <w:p>
      <w:r>
        <w:t>Hardware integrations, BLE/UWB and native apps should remain partner-led or client-driven until there is demonstrated demand. They are expensive directions where established vendors already have deep operational expertise.</w:t>
      </w:r>
    </w:p>
    <w:p>
      <w:pPr>
        <w:pStyle w:val="Title"/>
      </w:pPr>
      <w:r>
        <w:t>18. Key decisions</w:t>
      </w:r>
    </w:p>
    <w:p>
      <w:pPr>
        <w:pStyle w:val="ListNumber"/>
        <w:spacing w:after="80"/>
      </w:pPr>
      <w:r>
        <w:t>Position MAG as a premium institutional visitor platform, not as a commodity WordPress plugin.</w:t>
      </w:r>
    </w:p>
    <w:p>
      <w:pPr>
        <w:pStyle w:val="ListNumber"/>
        <w:spacing w:after="80"/>
      </w:pPr>
      <w:r>
        <w:t>Preserve museum ownership of content, deployment and data as a primary differentiator.</w:t>
      </w:r>
    </w:p>
    <w:p>
      <w:pPr>
        <w:pStyle w:val="ListNumber"/>
        <w:spacing w:after="80"/>
      </w:pPr>
      <w:r>
        <w:t>Make offline/PWA, multilingual abstraction and enterprise workflow the next foundational releases.</w:t>
      </w:r>
    </w:p>
    <w:p>
      <w:pPr>
        <w:pStyle w:val="ListNumber"/>
        <w:spacing w:after="80"/>
      </w:pPr>
      <w:r>
        <w:t>Use five-figure annual licensing plus implementation and SLA rather than low monthly SaaS pricing.</w:t>
      </w:r>
    </w:p>
    <w:p>
      <w:pPr>
        <w:pStyle w:val="ListNumber"/>
        <w:spacing w:after="80"/>
      </w:pPr>
      <w:r>
        <w:t>Keep AI modular and curator-governed; build production tools before visitor chatbot features.</w:t>
      </w:r>
    </w:p>
    <w:p>
      <w:pPr>
        <w:pStyle w:val="ListNumber"/>
        <w:spacing w:after="80"/>
      </w:pPr>
      <w:r>
        <w:t>Formalize a CMS-agnostic MAG Data Contract and Source Adapter interface for v2.</w:t>
      </w:r>
    </w:p>
    <w:p>
      <w:pPr>
        <w:pStyle w:val="ListNumber"/>
        <w:spacing w:after="80"/>
      </w:pPr>
      <w:r>
        <w:t>Prioritize Drupal, Omeka S and Directus/Strapi before broad generic SaaS CMS integrations.</w:t>
      </w:r>
    </w:p>
    <w:p>
      <w:pPr>
        <w:pStyle w:val="ListNumber"/>
        <w:spacing w:after="80"/>
      </w:pPr>
      <w:r>
        <w:t>Treat TMS, MuseumPlus, Axiell and CollectionSpace integrations as high-value enterprise projects.</w:t>
      </w:r>
    </w:p>
    <w:p>
      <w:pPr>
        <w:pStyle w:val="ListNumber"/>
        <w:spacing w:after="80"/>
      </w:pPr>
      <w:r>
        <w:t>Avoid becoming a hardware manufacturer; support hardware through partnerships and integration APIs.</w:t>
      </w:r>
    </w:p>
    <w:p>
      <w:pPr>
        <w:pStyle w:val="ListNumber"/>
        <w:spacing w:after="80"/>
      </w:pPr>
      <w:r>
        <w:t>Invest in security, accessibility, backup, upgrade policy and procurement documentation as product features, not paperwork.</w:t>
      </w:r>
    </w:p>
    <w:p>
      <w:pPr>
        <w:pStyle w:val="Title"/>
      </w:pPr>
      <w:r>
        <w:t>Appendix A. Source links and evidence notes</w:t>
      </w:r>
    </w:p>
    <w:p>
      <w:r>
        <w:t>Competitive data in this report is based primarily on vendors’ public product, pricing, about and case-study pages. Prices and installed-base statements can change and should be revalidated before a commercial proposal or procurement response. Reach figures are vendor-reported unless otherwise stated.</w:t>
      </w:r>
    </w:p>
    <w:p>
      <w:pPr>
        <w:spacing w:after="60"/>
      </w:pPr>
      <w:hyperlink r:id="rId9">
        <w:r>
          <w:rPr>
            <w:color w:val="147D92"/>
            <w:u w:val="single"/>
          </w:rPr>
          <w:t>Smartify - Pricing</w:t>
        </w:r>
      </w:hyperlink>
      <w:r>
        <w:rPr>
          <w:sz w:val="17"/>
        </w:rPr>
        <w:t xml:space="preserve"> - https://smartify.org/partners/pricing</w:t>
      </w:r>
    </w:p>
    <w:p>
      <w:pPr>
        <w:spacing w:after="60"/>
      </w:pPr>
      <w:hyperlink r:id="rId10">
        <w:r>
          <w:rPr>
            <w:color w:val="147D92"/>
            <w:u w:val="single"/>
          </w:rPr>
          <w:t>Smartify - Products</w:t>
        </w:r>
      </w:hyperlink>
      <w:r>
        <w:rPr>
          <w:sz w:val="17"/>
        </w:rPr>
        <w:t xml:space="preserve"> - https://smartify.org/partners/products</w:t>
      </w:r>
    </w:p>
    <w:p>
      <w:pPr>
        <w:spacing w:after="60"/>
      </w:pPr>
      <w:hyperlink r:id="rId11">
        <w:r>
          <w:rPr>
            <w:color w:val="147D92"/>
            <w:u w:val="single"/>
          </w:rPr>
          <w:t>Smartify - About</w:t>
        </w:r>
      </w:hyperlink>
      <w:r>
        <w:rPr>
          <w:sz w:val="17"/>
        </w:rPr>
        <w:t xml:space="preserve"> - https://smartify.org/partners/about</w:t>
      </w:r>
    </w:p>
    <w:p>
      <w:pPr>
        <w:spacing w:after="60"/>
      </w:pPr>
      <w:hyperlink r:id="rId12">
        <w:r>
          <w:rPr>
            <w:color w:val="147D92"/>
            <w:u w:val="single"/>
          </w:rPr>
          <w:t>Bloomberg Connects</w:t>
        </w:r>
      </w:hyperlink>
      <w:r>
        <w:rPr>
          <w:sz w:val="17"/>
        </w:rPr>
        <w:t xml:space="preserve"> - https://www.bloombergconnects.org/</w:t>
      </w:r>
    </w:p>
    <w:p>
      <w:pPr>
        <w:spacing w:after="60"/>
      </w:pPr>
      <w:hyperlink r:id="rId13">
        <w:r>
          <w:rPr>
            <w:color w:val="147D92"/>
            <w:u w:val="single"/>
          </w:rPr>
          <w:t>Bloomberg Connects - FAQ</w:t>
        </w:r>
      </w:hyperlink>
      <w:r>
        <w:rPr>
          <w:sz w:val="17"/>
        </w:rPr>
        <w:t xml:space="preserve"> - https://www.bloombergconnects.org/faq/</w:t>
      </w:r>
    </w:p>
    <w:p>
      <w:pPr>
        <w:spacing w:after="60"/>
      </w:pPr>
      <w:hyperlink r:id="rId14">
        <w:r>
          <w:rPr>
            <w:color w:val="147D92"/>
            <w:u w:val="single"/>
          </w:rPr>
          <w:t>STQRY Apps</w:t>
        </w:r>
      </w:hyperlink>
      <w:r>
        <w:rPr>
          <w:sz w:val="17"/>
        </w:rPr>
        <w:t xml:space="preserve"> - https://www.stqry.com/products/stqry-apps/</w:t>
      </w:r>
    </w:p>
    <w:p>
      <w:pPr>
        <w:spacing w:after="60"/>
      </w:pPr>
      <w:hyperlink r:id="rId15">
        <w:r>
          <w:rPr>
            <w:color w:val="147D92"/>
            <w:u w:val="single"/>
          </w:rPr>
          <w:t>Nubart Audio Guides</w:t>
        </w:r>
      </w:hyperlink>
      <w:r>
        <w:rPr>
          <w:sz w:val="17"/>
        </w:rPr>
        <w:t xml:space="preserve"> - https://www.nubart.eu/audio-guides/</w:t>
      </w:r>
    </w:p>
    <w:p>
      <w:pPr>
        <w:spacing w:after="60"/>
      </w:pPr>
      <w:hyperlink r:id="rId16">
        <w:r>
          <w:rPr>
            <w:color w:val="147D92"/>
            <w:u w:val="single"/>
          </w:rPr>
          <w:t>Nubart facts and comparisons</w:t>
        </w:r>
      </w:hyperlink>
      <w:r>
        <w:rPr>
          <w:sz w:val="17"/>
        </w:rPr>
        <w:t xml:space="preserve"> - https://www.nubart.eu/audio-guides/audio-guide-facts-comparisons.html</w:t>
      </w:r>
    </w:p>
    <w:p>
      <w:pPr>
        <w:spacing w:after="60"/>
      </w:pPr>
      <w:hyperlink r:id="rId17">
        <w:r>
          <w:rPr>
            <w:color w:val="147D92"/>
            <w:u w:val="single"/>
          </w:rPr>
          <w:t>Orpheo Group</w:t>
        </w:r>
      </w:hyperlink>
      <w:r>
        <w:rPr>
          <w:sz w:val="17"/>
        </w:rPr>
        <w:t xml:space="preserve"> - https://orpheogroup.com/</w:t>
      </w:r>
    </w:p>
    <w:p>
      <w:pPr>
        <w:spacing w:after="60"/>
      </w:pPr>
      <w:hyperlink r:id="rId18">
        <w:r>
          <w:rPr>
            <w:color w:val="147D92"/>
            <w:u w:val="single"/>
          </w:rPr>
          <w:t>Guide-ID Clients</w:t>
        </w:r>
      </w:hyperlink>
      <w:r>
        <w:rPr>
          <w:sz w:val="17"/>
        </w:rPr>
        <w:t xml:space="preserve"> - https://www.guide-id.com/clients/</w:t>
      </w:r>
    </w:p>
    <w:p>
      <w:pPr>
        <w:spacing w:after="60"/>
      </w:pPr>
      <w:hyperlink r:id="rId19">
        <w:r>
          <w:rPr>
            <w:color w:val="147D92"/>
            <w:u w:val="single"/>
          </w:rPr>
          <w:t>Guide-ID Platform</w:t>
        </w:r>
      </w:hyperlink>
      <w:r>
        <w:rPr>
          <w:sz w:val="17"/>
        </w:rPr>
        <w:t xml:space="preserve"> - https://www.guide-id.com/products/platform/</w:t>
      </w:r>
    </w:p>
    <w:p>
      <w:pPr>
        <w:spacing w:after="60"/>
      </w:pPr>
      <w:hyperlink r:id="rId20">
        <w:r>
          <w:rPr>
            <w:color w:val="147D92"/>
            <w:u w:val="single"/>
          </w:rPr>
          <w:t>izi.TRAVEL Professionals</w:t>
        </w:r>
      </w:hyperlink>
      <w:r>
        <w:rPr>
          <w:sz w:val="17"/>
        </w:rPr>
        <w:t xml:space="preserve"> - https://izi.travel/en/create/professionals</w:t>
      </w:r>
    </w:p>
    <w:p>
      <w:pPr>
        <w:spacing w:after="60"/>
      </w:pPr>
      <w:hyperlink r:id="rId21">
        <w:r>
          <w:rPr>
            <w:color w:val="147D92"/>
            <w:u w:val="single"/>
          </w:rPr>
          <w:t>izi.TRAVEL API terms</w:t>
        </w:r>
      </w:hyperlink>
      <w:r>
        <w:rPr>
          <w:sz w:val="17"/>
        </w:rPr>
        <w:t xml:space="preserve"> - https://izi.travel/en/api-license-terms</w:t>
      </w:r>
    </w:p>
    <w:p>
      <w:pPr>
        <w:spacing w:after="60"/>
      </w:pPr>
      <w:hyperlink r:id="rId22">
        <w:r>
          <w:rPr>
            <w:color w:val="147D92"/>
            <w:u w:val="single"/>
          </w:rPr>
          <w:t>Musa Pricing</w:t>
        </w:r>
      </w:hyperlink>
      <w:r>
        <w:rPr>
          <w:sz w:val="17"/>
        </w:rPr>
        <w:t xml:space="preserve"> - https://www.musa.guide/en/pricing</w:t>
      </w:r>
    </w:p>
    <w:p>
      <w:pPr>
        <w:spacing w:after="60"/>
      </w:pPr>
      <w:hyperlink r:id="rId23">
        <w:r>
          <w:rPr>
            <w:color w:val="147D92"/>
            <w:u w:val="single"/>
          </w:rPr>
          <w:t>Musa Museum Guide</w:t>
        </w:r>
      </w:hyperlink>
      <w:r>
        <w:rPr>
          <w:sz w:val="17"/>
        </w:rPr>
        <w:t xml:space="preserve"> - https://www.musa.guide/en/museum-audio-guide-app</w:t>
      </w:r>
    </w:p>
    <w:p>
      <w:pPr>
        <w:spacing w:after="60"/>
      </w:pPr>
      <w:hyperlink r:id="rId24">
        <w:r>
          <w:rPr>
            <w:color w:val="147D92"/>
            <w:u w:val="single"/>
          </w:rPr>
          <w:t>Musa Case Studies</w:t>
        </w:r>
      </w:hyperlink>
      <w:r>
        <w:rPr>
          <w:sz w:val="17"/>
        </w:rPr>
        <w:t xml:space="preserve"> - https://www.musa.guide/en/case-studies</w:t>
      </w:r>
    </w:p>
    <w:p>
      <w:pPr>
        <w:spacing w:after="60"/>
      </w:pPr>
      <w:hyperlink r:id="rId25">
        <w:r>
          <w:rPr>
            <w:color w:val="147D92"/>
            <w:u w:val="single"/>
          </w:rPr>
          <w:t>Convo Pricing</w:t>
        </w:r>
      </w:hyperlink>
      <w:r>
        <w:rPr>
          <w:sz w:val="17"/>
        </w:rPr>
        <w:t xml:space="preserve"> - https://www.convo.app/pricing</w:t>
      </w:r>
    </w:p>
    <w:p>
      <w:pPr>
        <w:spacing w:after="60"/>
      </w:pPr>
      <w:hyperlink r:id="rId26">
        <w:r>
          <w:rPr>
            <w:color w:val="147D92"/>
            <w:u w:val="single"/>
          </w:rPr>
          <w:t>Museo.guide</w:t>
        </w:r>
      </w:hyperlink>
      <w:r>
        <w:rPr>
          <w:sz w:val="17"/>
        </w:rPr>
        <w:t xml:space="preserve"> - https://museo.guide/</w:t>
      </w:r>
    </w:p>
    <w:p>
      <w:pPr>
        <w:spacing w:after="60"/>
      </w:pPr>
      <w:hyperlink r:id="rId27">
        <w:r>
          <w:rPr>
            <w:color w:val="147D92"/>
            <w:u w:val="single"/>
          </w:rPr>
          <w:t>Guidemate Pricing</w:t>
        </w:r>
      </w:hyperlink>
      <w:r>
        <w:rPr>
          <w:sz w:val="17"/>
        </w:rPr>
        <w:t xml:space="preserve"> - https://en.guidemate.com/pricing</w:t>
      </w:r>
    </w:p>
    <w:p>
      <w:pPr>
        <w:pStyle w:val="Title"/>
      </w:pPr>
      <w:r>
        <w:t>Appendix B. Terminology and proposed product naming</w:t>
      </w:r>
    </w:p>
    <w:tbl>
      <w:tblPr>
        <w:tblStyle w:val="TableGrid"/>
        <w:tblW w:type="auto" w:w="0"/>
        <w:jc w:val="center"/>
        <w:tblLook w:firstColumn="1" w:firstRow="1" w:lastColumn="0" w:lastRow="0" w:noHBand="0" w:noVBand="1" w:val="04A0"/>
      </w:tblPr>
      <w:tblGrid>
        <w:gridCol w:w="5026"/>
        <w:gridCol w:w="5026"/>
      </w:tblGrid>
      <w:tr>
        <w:trPr>
          <w:tblHeader w:val="true"/>
        </w:trPr>
        <w:tc>
          <w:tcPr>
            <w:tcW w:type="dxa" w:w="2951"/>
            <w:shd w:fill="173A52"/>
            <w:tcMar>
              <w:top w:w="110" w:type="dxa"/>
              <w:start w:w="125" w:type="dxa"/>
              <w:bottom w:w="110" w:type="dxa"/>
              <w:end w:w="125" w:type="dxa"/>
            </w:tcMar>
            <w:vAlign w:val="center"/>
          </w:tcPr>
          <w:p>
            <w:r>
              <w:rPr>
                <w:b/>
                <w:color w:val="FFFFFF"/>
                <w:sz w:val="17"/>
              </w:rPr>
              <w:t>Term</w:t>
            </w:r>
          </w:p>
        </w:tc>
        <w:tc>
          <w:tcPr>
            <w:tcW w:type="dxa" w:w="7272"/>
            <w:shd w:fill="173A52"/>
            <w:tcMar>
              <w:top w:w="110" w:type="dxa"/>
              <w:start w:w="125" w:type="dxa"/>
              <w:bottom w:w="110" w:type="dxa"/>
              <w:end w:w="125" w:type="dxa"/>
            </w:tcMar>
            <w:vAlign w:val="center"/>
          </w:tcPr>
          <w:p>
            <w:r>
              <w:rPr>
                <w:b/>
                <w:color w:val="FFFFFF"/>
                <w:sz w:val="17"/>
              </w:rPr>
              <w:t>Recommended meaning</w:t>
            </w:r>
          </w:p>
        </w:tc>
      </w:tr>
      <w:tr>
        <w:tc>
          <w:tcPr>
            <w:tcW w:type="dxa" w:w="2951"/>
            <w:tcMar>
              <w:top w:w="110" w:type="dxa"/>
              <w:start w:w="125" w:type="dxa"/>
              <w:bottom w:w="110" w:type="dxa"/>
              <w:end w:w="125" w:type="dxa"/>
            </w:tcMar>
            <w:vAlign w:val="center"/>
          </w:tcPr>
          <w:p>
            <w:pPr>
              <w:spacing w:after="0" w:line="247" w:lineRule="auto"/>
            </w:pPr>
            <w:r>
              <w:rPr>
                <w:color w:val="26323A"/>
                <w:sz w:val="17"/>
              </w:rPr>
              <w:t>MAG Core</w:t>
            </w:r>
          </w:p>
        </w:tc>
        <w:tc>
          <w:tcPr>
            <w:tcW w:type="dxa" w:w="7272"/>
            <w:tcMar>
              <w:top w:w="110" w:type="dxa"/>
              <w:start w:w="125" w:type="dxa"/>
              <w:bottom w:w="110" w:type="dxa"/>
              <w:end w:w="125" w:type="dxa"/>
            </w:tcMar>
            <w:vAlign w:val="center"/>
          </w:tcPr>
          <w:p>
            <w:pPr>
              <w:spacing w:after="0" w:line="247" w:lineRule="auto"/>
            </w:pPr>
            <w:r>
              <w:rPr>
                <w:color w:val="26323A"/>
                <w:sz w:val="17"/>
              </w:rPr>
              <w:t>CMS-agnostic domain model, normalized data contract, tour/readiness logic and shared API concepts.</w:t>
            </w:r>
          </w:p>
        </w:tc>
      </w:tr>
      <w:tr>
        <w:tc>
          <w:tcPr>
            <w:tcW w:type="dxa" w:w="2951"/>
            <w:tcMar>
              <w:top w:w="110" w:type="dxa"/>
              <w:start w:w="125" w:type="dxa"/>
              <w:bottom w:w="110" w:type="dxa"/>
              <w:end w:w="125" w:type="dxa"/>
            </w:tcMar>
            <w:vAlign w:val="center"/>
          </w:tcPr>
          <w:p>
            <w:pPr>
              <w:spacing w:after="0" w:line="247" w:lineRule="auto"/>
            </w:pPr>
            <w:r>
              <w:rPr>
                <w:color w:val="26323A"/>
                <w:sz w:val="17"/>
              </w:rPr>
              <w:t>MAG Source Adapter</w:t>
            </w:r>
          </w:p>
        </w:tc>
        <w:tc>
          <w:tcPr>
            <w:tcW w:type="dxa" w:w="7272"/>
            <w:tcMar>
              <w:top w:w="110" w:type="dxa"/>
              <w:start w:w="125" w:type="dxa"/>
              <w:bottom w:w="110" w:type="dxa"/>
              <w:end w:w="125" w:type="dxa"/>
            </w:tcMar>
            <w:vAlign w:val="center"/>
          </w:tcPr>
          <w:p>
            <w:pPr>
              <w:spacing w:after="0" w:line="247" w:lineRule="auto"/>
            </w:pPr>
            <w:r>
              <w:rPr>
                <w:color w:val="26323A"/>
                <w:sz w:val="17"/>
              </w:rPr>
              <w:t>Connector that translates a CMS or collection system into the MAG normalized model.</w:t>
            </w:r>
          </w:p>
        </w:tc>
      </w:tr>
      <w:tr>
        <w:tc>
          <w:tcPr>
            <w:tcW w:type="dxa" w:w="2951"/>
            <w:tcMar>
              <w:top w:w="110" w:type="dxa"/>
              <w:start w:w="125" w:type="dxa"/>
              <w:bottom w:w="110" w:type="dxa"/>
              <w:end w:w="125" w:type="dxa"/>
            </w:tcMar>
            <w:vAlign w:val="center"/>
          </w:tcPr>
          <w:p>
            <w:pPr>
              <w:spacing w:after="0" w:line="247" w:lineRule="auto"/>
            </w:pPr>
            <w:r>
              <w:rPr>
                <w:color w:val="26323A"/>
                <w:sz w:val="17"/>
              </w:rPr>
              <w:t>MAG WordPress Connector</w:t>
            </w:r>
          </w:p>
        </w:tc>
        <w:tc>
          <w:tcPr>
            <w:tcW w:type="dxa" w:w="7272"/>
            <w:tcMar>
              <w:top w:w="110" w:type="dxa"/>
              <w:start w:w="125" w:type="dxa"/>
              <w:bottom w:w="110" w:type="dxa"/>
              <w:end w:w="125" w:type="dxa"/>
            </w:tcMar>
            <w:vAlign w:val="center"/>
          </w:tcPr>
          <w:p>
            <w:pPr>
              <w:spacing w:after="0" w:line="247" w:lineRule="auto"/>
            </w:pPr>
            <w:r>
              <w:rPr>
                <w:color w:val="26323A"/>
                <w:sz w:val="17"/>
              </w:rPr>
              <w:t>Current WordPress/ACF integration and admin implementation.</w:t>
            </w:r>
          </w:p>
        </w:tc>
      </w:tr>
      <w:tr>
        <w:tc>
          <w:tcPr>
            <w:tcW w:type="dxa" w:w="2951"/>
            <w:tcMar>
              <w:top w:w="110" w:type="dxa"/>
              <w:start w:w="125" w:type="dxa"/>
              <w:bottom w:w="110" w:type="dxa"/>
              <w:end w:w="125" w:type="dxa"/>
            </w:tcMar>
            <w:vAlign w:val="center"/>
          </w:tcPr>
          <w:p>
            <w:pPr>
              <w:spacing w:after="0" w:line="247" w:lineRule="auto"/>
            </w:pPr>
            <w:r>
              <w:rPr>
                <w:color w:val="26323A"/>
                <w:sz w:val="17"/>
              </w:rPr>
              <w:t>MAG Guide</w:t>
            </w:r>
          </w:p>
        </w:tc>
        <w:tc>
          <w:tcPr>
            <w:tcW w:type="dxa" w:w="7272"/>
            <w:tcMar>
              <w:top w:w="110" w:type="dxa"/>
              <w:start w:w="125" w:type="dxa"/>
              <w:bottom w:w="110" w:type="dxa"/>
              <w:end w:w="125" w:type="dxa"/>
            </w:tcMar>
            <w:vAlign w:val="center"/>
          </w:tcPr>
          <w:p>
            <w:pPr>
              <w:spacing w:after="0" w:line="247" w:lineRule="auto"/>
            </w:pPr>
            <w:r>
              <w:rPr>
                <w:color w:val="26323A"/>
                <w:sz w:val="17"/>
              </w:rPr>
              <w:t>Visitor-facing PWA/web application.</w:t>
            </w:r>
          </w:p>
        </w:tc>
      </w:tr>
      <w:tr>
        <w:tc>
          <w:tcPr>
            <w:tcW w:type="dxa" w:w="2951"/>
            <w:tcMar>
              <w:top w:w="110" w:type="dxa"/>
              <w:start w:w="125" w:type="dxa"/>
              <w:bottom w:w="110" w:type="dxa"/>
              <w:end w:w="125" w:type="dxa"/>
            </w:tcMar>
            <w:vAlign w:val="center"/>
          </w:tcPr>
          <w:p>
            <w:pPr>
              <w:spacing w:after="0" w:line="247" w:lineRule="auto"/>
            </w:pPr>
            <w:r>
              <w:rPr>
                <w:color w:val="26323A"/>
                <w:sz w:val="17"/>
              </w:rPr>
              <w:t>Digital Visitor Platform</w:t>
            </w:r>
          </w:p>
        </w:tc>
        <w:tc>
          <w:tcPr>
            <w:tcW w:type="dxa" w:w="7272"/>
            <w:tcMar>
              <w:top w:w="110" w:type="dxa"/>
              <w:start w:w="125" w:type="dxa"/>
              <w:bottom w:w="110" w:type="dxa"/>
              <w:end w:w="125" w:type="dxa"/>
            </w:tcMar>
            <w:vAlign w:val="center"/>
          </w:tcPr>
          <w:p>
            <w:pPr>
              <w:spacing w:after="0" w:line="247" w:lineRule="auto"/>
            </w:pPr>
            <w:r>
              <w:rPr>
                <w:color w:val="26323A"/>
                <w:sz w:val="17"/>
              </w:rPr>
              <w:t>Commercial category used in proposals and marketing.</w:t>
            </w:r>
          </w:p>
        </w:tc>
      </w:tr>
      <w:tr>
        <w:tc>
          <w:tcPr>
            <w:tcW w:type="dxa" w:w="2951"/>
            <w:tcMar>
              <w:top w:w="110" w:type="dxa"/>
              <w:start w:w="125" w:type="dxa"/>
              <w:bottom w:w="110" w:type="dxa"/>
              <w:end w:w="125" w:type="dxa"/>
            </w:tcMar>
            <w:vAlign w:val="center"/>
          </w:tcPr>
          <w:p>
            <w:pPr>
              <w:spacing w:after="0" w:line="247" w:lineRule="auto"/>
            </w:pPr>
            <w:r>
              <w:rPr>
                <w:color w:val="26323A"/>
                <w:sz w:val="17"/>
              </w:rPr>
              <w:t>Museum-owned deployment</w:t>
            </w:r>
          </w:p>
        </w:tc>
        <w:tc>
          <w:tcPr>
            <w:tcW w:type="dxa" w:w="7272"/>
            <w:tcMar>
              <w:top w:w="110" w:type="dxa"/>
              <w:start w:w="125" w:type="dxa"/>
              <w:bottom w:w="110" w:type="dxa"/>
              <w:end w:w="125" w:type="dxa"/>
            </w:tcMar>
            <w:vAlign w:val="center"/>
          </w:tcPr>
          <w:p>
            <w:pPr>
              <w:spacing w:after="0" w:line="247" w:lineRule="auto"/>
            </w:pPr>
            <w:r>
              <w:rPr>
                <w:color w:val="26323A"/>
                <w:sz w:val="17"/>
              </w:rPr>
              <w:t>Institution controls domain, infrastructure, content, media, backups and analytics configuration.</w:t>
            </w:r>
          </w:p>
        </w:tc>
      </w:tr>
      <w:tr>
        <w:tc>
          <w:tcPr>
            <w:tcW w:type="dxa" w:w="2951"/>
            <w:tcMar>
              <w:top w:w="110" w:type="dxa"/>
              <w:start w:w="125" w:type="dxa"/>
              <w:bottom w:w="110" w:type="dxa"/>
              <w:end w:w="125" w:type="dxa"/>
            </w:tcMar>
            <w:vAlign w:val="center"/>
          </w:tcPr>
          <w:p>
            <w:pPr>
              <w:spacing w:after="0" w:line="247" w:lineRule="auto"/>
            </w:pPr>
            <w:r>
              <w:rPr>
                <w:color w:val="26323A"/>
                <w:sz w:val="17"/>
              </w:rPr>
              <w:t>Source of truth</w:t>
            </w:r>
          </w:p>
        </w:tc>
        <w:tc>
          <w:tcPr>
            <w:tcW w:type="dxa" w:w="7272"/>
            <w:tcMar>
              <w:top w:w="110" w:type="dxa"/>
              <w:start w:w="125" w:type="dxa"/>
              <w:bottom w:w="110" w:type="dxa"/>
              <w:end w:w="125" w:type="dxa"/>
            </w:tcMar>
            <w:vAlign w:val="center"/>
          </w:tcPr>
          <w:p>
            <w:pPr>
              <w:spacing w:after="0" w:line="247" w:lineRule="auto"/>
            </w:pPr>
            <w:r>
              <w:rPr>
                <w:color w:val="26323A"/>
                <w:sz w:val="17"/>
              </w:rPr>
              <w:t>Authoritative CMS/collection system from which MAG reads rather than duplicates core object metadata.</w:t>
            </w:r>
          </w:p>
        </w:tc>
      </w:tr>
    </w:tbl>
    <w:p>
      <w:pPr>
        <w:spacing w:after="40"/>
      </w:pPr>
    </w:p>
    <w:sectPr w:rsidR="00FC693F" w:rsidRPr="0006063C" w:rsidSect="00034616">
      <w:pgSz w:w="12240" w:h="15840"/>
      <w:pgMar w:top="979" w:right="1094" w:bottom="979"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6" w:lineRule="auto"/>
    </w:pPr>
    <w:rPr>
      <w:rFonts w:ascii="Aptos" w:hAnsi="Aptos"/>
      <w:color w:val="2632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00"/>
      <w:outlineLvl w:val="0"/>
    </w:pPr>
    <w:rPr>
      <w:rFonts w:asciiTheme="majorHAnsi" w:eastAsiaTheme="majorEastAsia" w:hAnsiTheme="majorHAnsi" w:cstheme="majorBidi" w:ascii="Aptos Display" w:hAnsi="Aptos Display"/>
      <w:b/>
      <w:bCs/>
      <w:color w:val="173A52"/>
      <w:sz w:val="38"/>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Aptos Display" w:hAnsi="Aptos Display"/>
      <w:b/>
      <w:bCs/>
      <w:color w:val="147D92"/>
      <w:sz w:val="28"/>
      <w:szCs w:val="26"/>
    </w:rPr>
  </w:style>
  <w:style w:type="paragraph" w:styleId="Heading3">
    <w:name w:val="heading 3"/>
    <w:basedOn w:val="Normal"/>
    <w:next w:val="Normal"/>
    <w:link w:val="Heading3Char"/>
    <w:uiPriority w:val="9"/>
    <w:unhideWhenUsed/>
    <w:qFormat/>
    <w:rsid w:val="00FC693F"/>
    <w:pPr>
      <w:keepNext/>
      <w:keepLines/>
      <w:spacing w:before="140" w:after="100"/>
      <w:outlineLvl w:val="2"/>
    </w:pPr>
    <w:rPr>
      <w:rFonts w:asciiTheme="majorHAnsi" w:eastAsiaTheme="majorEastAsia" w:hAnsiTheme="majorHAnsi" w:cstheme="majorBidi" w:ascii="Aptos" w:hAnsi="Aptos"/>
      <w:b/>
      <w:bCs/>
      <w:color w:val="173A5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280"/>
      <w:contextualSpacing/>
    </w:pPr>
    <w:rPr>
      <w:rFonts w:asciiTheme="majorHAnsi" w:eastAsiaTheme="majorEastAsia" w:hAnsiTheme="majorHAnsi" w:cstheme="majorBidi" w:ascii="Aptos Display" w:hAnsi="Aptos Display"/>
      <w:b/>
      <w:color w:val="173A5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abel">
    <w:name w:val="Section Label"/>
    <w:pPr>
      <w:spacing w:after="80"/>
    </w:pPr>
    <w:rPr>
      <w:rFonts w:ascii="Aptos" w:hAnsi="Aptos"/>
      <w:b/>
      <w:color w:val="147D92"/>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martify.org/partners/pricing" TargetMode="External"/><Relationship Id="rId10" Type="http://schemas.openxmlformats.org/officeDocument/2006/relationships/hyperlink" Target="https://smartify.org/partners/products" TargetMode="External"/><Relationship Id="rId11" Type="http://schemas.openxmlformats.org/officeDocument/2006/relationships/hyperlink" Target="https://smartify.org/partners/about" TargetMode="External"/><Relationship Id="rId12" Type="http://schemas.openxmlformats.org/officeDocument/2006/relationships/hyperlink" Target="https://www.bloombergconnects.org/" TargetMode="External"/><Relationship Id="rId13" Type="http://schemas.openxmlformats.org/officeDocument/2006/relationships/hyperlink" Target="https://www.bloombergconnects.org/faq/" TargetMode="External"/><Relationship Id="rId14" Type="http://schemas.openxmlformats.org/officeDocument/2006/relationships/hyperlink" Target="https://www.stqry.com/products/stqry-apps/" TargetMode="External"/><Relationship Id="rId15" Type="http://schemas.openxmlformats.org/officeDocument/2006/relationships/hyperlink" Target="https://www.nubart.eu/audio-guides/" TargetMode="External"/><Relationship Id="rId16" Type="http://schemas.openxmlformats.org/officeDocument/2006/relationships/hyperlink" Target="https://www.nubart.eu/audio-guides/audio-guide-facts-comparisons.html" TargetMode="External"/><Relationship Id="rId17" Type="http://schemas.openxmlformats.org/officeDocument/2006/relationships/hyperlink" Target="https://orpheogroup.com/" TargetMode="External"/><Relationship Id="rId18" Type="http://schemas.openxmlformats.org/officeDocument/2006/relationships/hyperlink" Target="https://www.guide-id.com/clients/" TargetMode="External"/><Relationship Id="rId19" Type="http://schemas.openxmlformats.org/officeDocument/2006/relationships/hyperlink" Target="https://www.guide-id.com/products/platform/" TargetMode="External"/><Relationship Id="rId20" Type="http://schemas.openxmlformats.org/officeDocument/2006/relationships/hyperlink" Target="https://izi.travel/en/create/professionals" TargetMode="External"/><Relationship Id="rId21" Type="http://schemas.openxmlformats.org/officeDocument/2006/relationships/hyperlink" Target="https://izi.travel/en/api-license-terms" TargetMode="External"/><Relationship Id="rId22" Type="http://schemas.openxmlformats.org/officeDocument/2006/relationships/hyperlink" Target="https://www.musa.guide/en/pricing" TargetMode="External"/><Relationship Id="rId23" Type="http://schemas.openxmlformats.org/officeDocument/2006/relationships/hyperlink" Target="https://www.musa.guide/en/museum-audio-guide-app" TargetMode="External"/><Relationship Id="rId24" Type="http://schemas.openxmlformats.org/officeDocument/2006/relationships/hyperlink" Target="https://www.musa.guide/en/case-studies" TargetMode="External"/><Relationship Id="rId25" Type="http://schemas.openxmlformats.org/officeDocument/2006/relationships/hyperlink" Target="https://www.convo.app/pricing" TargetMode="External"/><Relationship Id="rId26" Type="http://schemas.openxmlformats.org/officeDocument/2006/relationships/hyperlink" Target="https://museo.guide/" TargetMode="External"/><Relationship Id="rId27" Type="http://schemas.openxmlformats.org/officeDocument/2006/relationships/hyperlink" Target="https://en.guidemate.com/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Museum Audio Guide - Market, Competitive Strategy and Roadmap</dc:title>
  <dc:subject>Competitive analysis, pricing strategy, product roadmap and CMS integration strategy</dc:subject>
  <dc:creator>Museum Audio Guide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