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left"/>
      </w:pPr>
      <w:r>
        <w:rPr>
          <w:b/>
          <w:color w:val="1E6F74"/>
          <w:sz w:val="36"/>
        </w:rPr>
        <w:t>MAG</w:t>
      </w:r>
    </w:p>
    <w:p>
      <w:pPr>
        <w:pStyle w:val="Title"/>
      </w:pPr>
      <w:r>
        <w:t>Museum Audio Guide</w:t>
      </w:r>
    </w:p>
    <w:p>
      <w:r>
        <w:rPr>
          <w:b/>
          <w:color w:val="17324D"/>
          <w:sz w:val="44"/>
        </w:rPr>
        <w:t>Marketing &amp; Go-to-Market Strategy</w:t>
      </w:r>
    </w:p>
    <w:p>
      <w:pPr>
        <w:pStyle w:val="Subtitle"/>
      </w:pPr>
      <w:r>
        <w:t>Pilot strategy, case studies, positioning, channels, partnerships and enterprise sales plan</w:t>
      </w:r>
    </w:p>
    <w:tbl>
      <w:tblPr>
        <w:tblW w:type="auto" w:w="0"/>
        <w:jc w:val="left"/>
        <w:tblLook w:firstColumn="1" w:firstRow="1" w:lastColumn="0" w:lastRow="0" w:noHBand="0" w:noVBand="1" w:val="04A0"/>
      </w:tblPr>
      <w:tblGrid>
        <w:gridCol w:w="5040"/>
        <w:gridCol w:w="5040"/>
      </w:tblGrid>
      <w:tr>
        <w:tc>
          <w:tcPr>
            <w:tcW w:type="dxa" w:w="5040"/>
            <w:shd w:fill="EEF4F6"/>
            <w:tcMar>
              <w:top w:w="90" w:type="dxa"/>
              <w:start w:w="120" w:type="dxa"/>
              <w:bottom w:w="90" w:type="dxa"/>
              <w:end w:w="120" w:type="dxa"/>
            </w:tcMar>
          </w:tcPr>
          <w:p>
            <w:r>
              <w:rPr>
                <w:b/>
              </w:rPr>
              <w:t>Document type</w:t>
            </w:r>
          </w:p>
        </w:tc>
        <w:tc>
          <w:tcPr>
            <w:tcW w:type="dxa" w:w="5040"/>
            <w:tcMar>
              <w:top w:w="90" w:type="dxa"/>
              <w:start w:w="120" w:type="dxa"/>
              <w:bottom w:w="90" w:type="dxa"/>
              <w:end w:w="120" w:type="dxa"/>
            </w:tcMar>
          </w:tcPr>
          <w:p>
            <w:r>
              <w:t>Strategic marketing plan</w:t>
            </w:r>
          </w:p>
        </w:tc>
      </w:tr>
      <w:tr>
        <w:tc>
          <w:tcPr>
            <w:tcW w:type="dxa" w:w="5040"/>
            <w:shd w:fill="EEF4F6"/>
            <w:tcMar>
              <w:top w:w="90" w:type="dxa"/>
              <w:start w:w="120" w:type="dxa"/>
              <w:bottom w:w="90" w:type="dxa"/>
              <w:end w:w="120" w:type="dxa"/>
            </w:tcMar>
          </w:tcPr>
          <w:p>
            <w:r>
              <w:rPr>
                <w:b/>
              </w:rPr>
              <w:t>Product</w:t>
            </w:r>
          </w:p>
        </w:tc>
        <w:tc>
          <w:tcPr>
            <w:tcW w:type="dxa" w:w="5040"/>
            <w:tcMar>
              <w:top w:w="90" w:type="dxa"/>
              <w:start w:w="120" w:type="dxa"/>
              <w:bottom w:w="90" w:type="dxa"/>
              <w:end w:w="120" w:type="dxa"/>
            </w:tcMar>
          </w:tcPr>
          <w:p>
            <w:r>
              <w:t>MAG – Digital Visitor Platform for Museums</w:t>
            </w:r>
          </w:p>
        </w:tc>
      </w:tr>
      <w:tr>
        <w:tc>
          <w:tcPr>
            <w:tcW w:type="dxa" w:w="5040"/>
            <w:shd w:fill="EEF4F6"/>
            <w:tcMar>
              <w:top w:w="90" w:type="dxa"/>
              <w:start w:w="120" w:type="dxa"/>
              <w:bottom w:w="90" w:type="dxa"/>
              <w:end w:w="120" w:type="dxa"/>
            </w:tcMar>
          </w:tcPr>
          <w:p>
            <w:r>
              <w:rPr>
                <w:b/>
              </w:rPr>
              <w:t>Version / date</w:t>
            </w:r>
          </w:p>
        </w:tc>
        <w:tc>
          <w:tcPr>
            <w:tcW w:type="dxa" w:w="5040"/>
            <w:tcMar>
              <w:top w:w="90" w:type="dxa"/>
              <w:start w:w="120" w:type="dxa"/>
              <w:bottom w:w="90" w:type="dxa"/>
              <w:end w:w="120" w:type="dxa"/>
            </w:tcMar>
          </w:tcPr>
          <w:p>
            <w:r>
              <w:t>October 2026</w:t>
            </w:r>
          </w:p>
        </w:tc>
      </w:tr>
    </w:tbl>
    <w:p/>
    <w:tbl>
      <w:tblPr>
        <w:tblW w:type="auto" w:w="0"/>
        <w:jc w:val="center"/>
        <w:tblLook w:firstColumn="1" w:firstRow="1" w:lastColumn="0" w:lastRow="0" w:noHBand="0" w:noVBand="1" w:val="04A0"/>
      </w:tblPr>
      <w:tblGrid>
        <w:gridCol w:w="10080"/>
      </w:tblGrid>
      <w:tr>
        <w:tc>
          <w:tcPr>
            <w:tcW w:type="dxa" w:w="10080"/>
            <w:shd w:fill="EAF3F3"/>
            <w:tcMar>
              <w:top w:w="120" w:type="dxa"/>
              <w:start w:w="180" w:type="dxa"/>
              <w:bottom w:w="120" w:type="dxa"/>
              <w:end w:w="180" w:type="dxa"/>
            </w:tcMar>
          </w:tcPr>
          <w:p>
            <w:pPr>
              <w:spacing w:after="80"/>
            </w:pPr>
            <w:r>
              <w:rPr>
                <w:b/>
                <w:color w:val="1E6F74"/>
                <w:sz w:val="22"/>
              </w:rPr>
              <w:t>Strategic premise</w:t>
            </w:r>
          </w:p>
          <w:p>
            <w:pPr>
              <w:spacing w:after="0" w:line="264" w:lineRule="auto"/>
            </w:pPr>
            <w:r>
              <w:t>The first Serbian museum deployments should be treated as evidence-building projects: real installations, measurable visitor behaviour, references and case studies. The primary international positioning should not be “another audio guide plugin”, but a museum-owned digital visitor platform integrated with existing collection and CMS infrastructure.</w:t>
            </w:r>
          </w:p>
        </w:tc>
      </w:tr>
    </w:tbl>
    <w:p>
      <w:pPr>
        <w:spacing w:after="0"/>
      </w:pPr>
    </w:p>
    <w:p>
      <w:r>
        <w:br w:type="page"/>
      </w:r>
    </w:p>
    <w:p>
      <w:pPr>
        <w:spacing w:after="40"/>
      </w:pPr>
      <w:r>
        <w:rPr>
          <w:b/>
          <w:color w:val="B7893B"/>
          <w:sz w:val="17"/>
        </w:rPr>
        <w:t>CONTENTS</w:t>
      </w:r>
    </w:p>
    <w:tbl>
      <w:tblPr>
        <w:tblStyle w:val="TableGrid"/>
        <w:tblW w:type="auto" w:w="0"/>
        <w:jc w:val="center"/>
        <w:tblLook w:firstColumn="1" w:firstRow="1" w:lastColumn="0" w:lastRow="0" w:noHBand="0" w:noVBand="1" w:val="04A0"/>
      </w:tblPr>
      <w:tblGrid>
        <w:gridCol w:w="5040"/>
        <w:gridCol w:w="5040"/>
      </w:tblGrid>
      <w:tr>
        <w:trPr>
          <w:tblHeader w:val="true"/>
          <w:cantSplit/>
        </w:trPr>
        <w:tc>
          <w:tcPr>
            <w:tcW w:type="dxa" w:w="1152"/>
            <w:shd w:fill="17324D"/>
            <w:vAlign w:val="center"/>
            <w:tcMar>
              <w:top w:w="100" w:type="dxa"/>
              <w:start w:w="120" w:type="dxa"/>
              <w:bottom w:w="100" w:type="dxa"/>
              <w:end w:w="120" w:type="dxa"/>
            </w:tcMar>
          </w:tcPr>
          <w:p>
            <w:pPr>
              <w:jc w:val="center"/>
            </w:pPr>
            <w:r>
              <w:rPr>
                <w:b/>
                <w:color w:val="FFFFFF"/>
                <w:sz w:val="19"/>
              </w:rPr>
              <w:t>Section</w:t>
            </w:r>
          </w:p>
        </w:tc>
        <w:tc>
          <w:tcPr>
            <w:tcW w:type="dxa" w:w="8352"/>
            <w:shd w:fill="17324D"/>
            <w:vAlign w:val="center"/>
            <w:tcMar>
              <w:top w:w="100" w:type="dxa"/>
              <w:start w:w="120" w:type="dxa"/>
              <w:bottom w:w="100" w:type="dxa"/>
              <w:end w:w="120" w:type="dxa"/>
            </w:tcMar>
          </w:tcPr>
          <w:p>
            <w:pPr>
              <w:jc w:val="center"/>
            </w:pPr>
            <w:r>
              <w:rPr>
                <w:b/>
                <w:color w:val="FFFFFF"/>
                <w:sz w:val="19"/>
              </w:rPr>
              <w:t>Topic</w:t>
            </w:r>
          </w:p>
        </w:tc>
      </w:tr>
      <w:tr>
        <w:trPr>
          <w:cantSplit/>
        </w:trPr>
        <w:tc>
          <w:tcPr>
            <w:tcW w:type="dxa" w:w="1152"/>
            <w:vAlign w:val="center"/>
            <w:tcMar>
              <w:top w:w="100" w:type="dxa"/>
              <w:start w:w="120" w:type="dxa"/>
              <w:bottom w:w="100" w:type="dxa"/>
              <w:end w:w="120" w:type="dxa"/>
            </w:tcMar>
          </w:tcPr>
          <w:p>
            <w:pPr>
              <w:spacing w:after="0"/>
            </w:pPr>
            <w:r>
              <w:rPr>
                <w:sz w:val="18"/>
              </w:rPr>
              <w:t>1</w:t>
            </w:r>
          </w:p>
        </w:tc>
        <w:tc>
          <w:tcPr>
            <w:tcW w:type="dxa" w:w="8352"/>
            <w:vAlign w:val="center"/>
            <w:tcMar>
              <w:top w:w="100" w:type="dxa"/>
              <w:start w:w="120" w:type="dxa"/>
              <w:bottom w:w="100" w:type="dxa"/>
              <w:end w:w="120" w:type="dxa"/>
            </w:tcMar>
          </w:tcPr>
          <w:p>
            <w:pPr>
              <w:spacing w:after="0"/>
            </w:pPr>
            <w:r>
              <w:rPr>
                <w:sz w:val="18"/>
              </w:rPr>
              <w:t>Executive summary</w:t>
            </w:r>
          </w:p>
        </w:tc>
      </w:tr>
      <w:tr>
        <w:trPr>
          <w:cantSplit/>
        </w:trPr>
        <w:tc>
          <w:tcPr>
            <w:tcW w:type="dxa" w:w="1152"/>
            <w:vAlign w:val="center"/>
            <w:tcMar>
              <w:top w:w="100" w:type="dxa"/>
              <w:start w:w="120" w:type="dxa"/>
              <w:bottom w:w="100" w:type="dxa"/>
              <w:end w:w="120" w:type="dxa"/>
            </w:tcMar>
          </w:tcPr>
          <w:p>
            <w:pPr>
              <w:spacing w:after="0"/>
            </w:pPr>
            <w:r>
              <w:rPr>
                <w:sz w:val="18"/>
              </w:rPr>
              <w:t>2</w:t>
            </w:r>
          </w:p>
        </w:tc>
        <w:tc>
          <w:tcPr>
            <w:tcW w:type="dxa" w:w="8352"/>
            <w:vAlign w:val="center"/>
            <w:tcMar>
              <w:top w:w="100" w:type="dxa"/>
              <w:start w:w="120" w:type="dxa"/>
              <w:bottom w:w="100" w:type="dxa"/>
              <w:end w:w="120" w:type="dxa"/>
            </w:tcMar>
          </w:tcPr>
          <w:p>
            <w:pPr>
              <w:spacing w:after="0"/>
            </w:pPr>
            <w:r>
              <w:rPr>
                <w:sz w:val="18"/>
              </w:rPr>
              <w:t>Launch thesis: Serbia as proof market</w:t>
            </w:r>
          </w:p>
        </w:tc>
      </w:tr>
      <w:tr>
        <w:trPr>
          <w:cantSplit/>
        </w:trPr>
        <w:tc>
          <w:tcPr>
            <w:tcW w:type="dxa" w:w="1152"/>
            <w:vAlign w:val="center"/>
            <w:tcMar>
              <w:top w:w="100" w:type="dxa"/>
              <w:start w:w="120" w:type="dxa"/>
              <w:bottom w:w="100" w:type="dxa"/>
              <w:end w:w="120" w:type="dxa"/>
            </w:tcMar>
          </w:tcPr>
          <w:p>
            <w:pPr>
              <w:spacing w:after="0"/>
            </w:pPr>
            <w:r>
              <w:rPr>
                <w:sz w:val="18"/>
              </w:rPr>
              <w:t>3</w:t>
            </w:r>
          </w:p>
        </w:tc>
        <w:tc>
          <w:tcPr>
            <w:tcW w:type="dxa" w:w="8352"/>
            <w:vAlign w:val="center"/>
            <w:tcMar>
              <w:top w:w="100" w:type="dxa"/>
              <w:start w:w="120" w:type="dxa"/>
              <w:bottom w:w="100" w:type="dxa"/>
              <w:end w:w="120" w:type="dxa"/>
            </w:tcMar>
          </w:tcPr>
          <w:p>
            <w:pPr>
              <w:spacing w:after="0"/>
            </w:pPr>
            <w:r>
              <w:rPr>
                <w:sz w:val="18"/>
              </w:rPr>
              <w:t>Founding Museum Programme</w:t>
            </w:r>
          </w:p>
        </w:tc>
      </w:tr>
      <w:tr>
        <w:trPr>
          <w:cantSplit/>
        </w:trPr>
        <w:tc>
          <w:tcPr>
            <w:tcW w:type="dxa" w:w="1152"/>
            <w:vAlign w:val="center"/>
            <w:tcMar>
              <w:top w:w="100" w:type="dxa"/>
              <w:start w:w="120" w:type="dxa"/>
              <w:bottom w:w="100" w:type="dxa"/>
              <w:end w:w="120" w:type="dxa"/>
            </w:tcMar>
          </w:tcPr>
          <w:p>
            <w:pPr>
              <w:spacing w:after="0"/>
            </w:pPr>
            <w:r>
              <w:rPr>
                <w:sz w:val="18"/>
              </w:rPr>
              <w:t>4</w:t>
            </w:r>
          </w:p>
        </w:tc>
        <w:tc>
          <w:tcPr>
            <w:tcW w:type="dxa" w:w="8352"/>
            <w:vAlign w:val="center"/>
            <w:tcMar>
              <w:top w:w="100" w:type="dxa"/>
              <w:start w:w="120" w:type="dxa"/>
              <w:bottom w:w="100" w:type="dxa"/>
              <w:end w:w="120" w:type="dxa"/>
            </w:tcMar>
          </w:tcPr>
          <w:p>
            <w:pPr>
              <w:spacing w:after="0"/>
            </w:pPr>
            <w:r>
              <w:rPr>
                <w:sz w:val="18"/>
              </w:rPr>
              <w:t>Case study and analytics framework</w:t>
            </w:r>
          </w:p>
        </w:tc>
      </w:tr>
      <w:tr>
        <w:trPr>
          <w:cantSplit/>
        </w:trPr>
        <w:tc>
          <w:tcPr>
            <w:tcW w:type="dxa" w:w="1152"/>
            <w:vAlign w:val="center"/>
            <w:tcMar>
              <w:top w:w="100" w:type="dxa"/>
              <w:start w:w="120" w:type="dxa"/>
              <w:bottom w:w="100" w:type="dxa"/>
              <w:end w:w="120" w:type="dxa"/>
            </w:tcMar>
          </w:tcPr>
          <w:p>
            <w:pPr>
              <w:spacing w:after="0"/>
            </w:pPr>
            <w:r>
              <w:rPr>
                <w:sz w:val="18"/>
              </w:rPr>
              <w:t>5</w:t>
            </w:r>
          </w:p>
        </w:tc>
        <w:tc>
          <w:tcPr>
            <w:tcW w:type="dxa" w:w="8352"/>
            <w:vAlign w:val="center"/>
            <w:tcMar>
              <w:top w:w="100" w:type="dxa"/>
              <w:start w:w="120" w:type="dxa"/>
              <w:bottom w:w="100" w:type="dxa"/>
              <w:end w:w="120" w:type="dxa"/>
            </w:tcMar>
          </w:tcPr>
          <w:p>
            <w:pPr>
              <w:spacing w:after="0"/>
            </w:pPr>
            <w:r>
              <w:rPr>
                <w:sz w:val="18"/>
              </w:rPr>
              <w:t>Positioning and messaging</w:t>
            </w:r>
          </w:p>
        </w:tc>
      </w:tr>
      <w:tr>
        <w:trPr>
          <w:cantSplit/>
        </w:trPr>
        <w:tc>
          <w:tcPr>
            <w:tcW w:type="dxa" w:w="1152"/>
            <w:vAlign w:val="center"/>
            <w:tcMar>
              <w:top w:w="100" w:type="dxa"/>
              <w:start w:w="120" w:type="dxa"/>
              <w:bottom w:w="100" w:type="dxa"/>
              <w:end w:w="120" w:type="dxa"/>
            </w:tcMar>
          </w:tcPr>
          <w:p>
            <w:pPr>
              <w:spacing w:after="0"/>
            </w:pPr>
            <w:r>
              <w:rPr>
                <w:sz w:val="18"/>
              </w:rPr>
              <w:t>6</w:t>
            </w:r>
          </w:p>
        </w:tc>
        <w:tc>
          <w:tcPr>
            <w:tcW w:type="dxa" w:w="8352"/>
            <w:vAlign w:val="center"/>
            <w:tcMar>
              <w:top w:w="100" w:type="dxa"/>
              <w:start w:w="120" w:type="dxa"/>
              <w:bottom w:w="100" w:type="dxa"/>
              <w:end w:w="120" w:type="dxa"/>
            </w:tcMar>
          </w:tcPr>
          <w:p>
            <w:pPr>
              <w:spacing w:after="0"/>
            </w:pPr>
            <w:r>
              <w:rPr>
                <w:sz w:val="18"/>
              </w:rPr>
              <w:t>Buyer committee and stakeholder marketing</w:t>
            </w:r>
          </w:p>
        </w:tc>
      </w:tr>
      <w:tr>
        <w:trPr>
          <w:cantSplit/>
        </w:trPr>
        <w:tc>
          <w:tcPr>
            <w:tcW w:type="dxa" w:w="1152"/>
            <w:vAlign w:val="center"/>
            <w:tcMar>
              <w:top w:w="100" w:type="dxa"/>
              <w:start w:w="120" w:type="dxa"/>
              <w:bottom w:w="100" w:type="dxa"/>
              <w:end w:w="120" w:type="dxa"/>
            </w:tcMar>
          </w:tcPr>
          <w:p>
            <w:pPr>
              <w:spacing w:after="0"/>
            </w:pPr>
            <w:r>
              <w:rPr>
                <w:sz w:val="18"/>
              </w:rPr>
              <w:t>7</w:t>
            </w:r>
          </w:p>
        </w:tc>
        <w:tc>
          <w:tcPr>
            <w:tcW w:type="dxa" w:w="8352"/>
            <w:vAlign w:val="center"/>
            <w:tcMar>
              <w:top w:w="100" w:type="dxa"/>
              <w:start w:w="120" w:type="dxa"/>
              <w:bottom w:w="100" w:type="dxa"/>
              <w:end w:w="120" w:type="dxa"/>
            </w:tcMar>
          </w:tcPr>
          <w:p>
            <w:pPr>
              <w:spacing w:after="0"/>
            </w:pPr>
            <w:r>
              <w:rPr>
                <w:sz w:val="18"/>
              </w:rPr>
              <w:t>Website and demo strategy</w:t>
            </w:r>
          </w:p>
        </w:tc>
      </w:tr>
      <w:tr>
        <w:trPr>
          <w:cantSplit/>
        </w:trPr>
        <w:tc>
          <w:tcPr>
            <w:tcW w:type="dxa" w:w="1152"/>
            <w:vAlign w:val="center"/>
            <w:tcMar>
              <w:top w:w="100" w:type="dxa"/>
              <w:start w:w="120" w:type="dxa"/>
              <w:bottom w:w="100" w:type="dxa"/>
              <w:end w:w="120" w:type="dxa"/>
            </w:tcMar>
          </w:tcPr>
          <w:p>
            <w:pPr>
              <w:spacing w:after="0"/>
            </w:pPr>
            <w:r>
              <w:rPr>
                <w:sz w:val="18"/>
              </w:rPr>
              <w:t>8</w:t>
            </w:r>
          </w:p>
        </w:tc>
        <w:tc>
          <w:tcPr>
            <w:tcW w:type="dxa" w:w="8352"/>
            <w:vAlign w:val="center"/>
            <w:tcMar>
              <w:top w:w="100" w:type="dxa"/>
              <w:start w:w="120" w:type="dxa"/>
              <w:bottom w:w="100" w:type="dxa"/>
              <w:end w:w="120" w:type="dxa"/>
            </w:tcMar>
          </w:tcPr>
          <w:p>
            <w:pPr>
              <w:spacing w:after="0"/>
            </w:pPr>
            <w:r>
              <w:rPr>
                <w:sz w:val="18"/>
              </w:rPr>
              <w:t>Channel strategy</w:t>
            </w:r>
          </w:p>
        </w:tc>
      </w:tr>
      <w:tr>
        <w:trPr>
          <w:cantSplit/>
        </w:trPr>
        <w:tc>
          <w:tcPr>
            <w:tcW w:type="dxa" w:w="1152"/>
            <w:vAlign w:val="center"/>
            <w:tcMar>
              <w:top w:w="100" w:type="dxa"/>
              <w:start w:w="120" w:type="dxa"/>
              <w:bottom w:w="100" w:type="dxa"/>
              <w:end w:w="120" w:type="dxa"/>
            </w:tcMar>
          </w:tcPr>
          <w:p>
            <w:pPr>
              <w:spacing w:after="0"/>
            </w:pPr>
            <w:r>
              <w:rPr>
                <w:sz w:val="18"/>
              </w:rPr>
              <w:t>9</w:t>
            </w:r>
          </w:p>
        </w:tc>
        <w:tc>
          <w:tcPr>
            <w:tcW w:type="dxa" w:w="8352"/>
            <w:vAlign w:val="center"/>
            <w:tcMar>
              <w:top w:w="100" w:type="dxa"/>
              <w:start w:w="120" w:type="dxa"/>
              <w:bottom w:w="100" w:type="dxa"/>
              <w:end w:w="120" w:type="dxa"/>
            </w:tcMar>
          </w:tcPr>
          <w:p>
            <w:pPr>
              <w:spacing w:after="0"/>
            </w:pPr>
            <w:r>
              <w:rPr>
                <w:sz w:val="18"/>
              </w:rPr>
              <w:t>Conference and professional-network strategy</w:t>
            </w:r>
          </w:p>
        </w:tc>
      </w:tr>
      <w:tr>
        <w:trPr>
          <w:cantSplit/>
        </w:trPr>
        <w:tc>
          <w:tcPr>
            <w:tcW w:type="dxa" w:w="1152"/>
            <w:vAlign w:val="center"/>
            <w:tcMar>
              <w:top w:w="100" w:type="dxa"/>
              <w:start w:w="120" w:type="dxa"/>
              <w:bottom w:w="100" w:type="dxa"/>
              <w:end w:w="120" w:type="dxa"/>
            </w:tcMar>
          </w:tcPr>
          <w:p>
            <w:pPr>
              <w:spacing w:after="0"/>
            </w:pPr>
            <w:r>
              <w:rPr>
                <w:sz w:val="18"/>
              </w:rPr>
              <w:t>10</w:t>
            </w:r>
          </w:p>
        </w:tc>
        <w:tc>
          <w:tcPr>
            <w:tcW w:type="dxa" w:w="8352"/>
            <w:vAlign w:val="center"/>
            <w:tcMar>
              <w:top w:w="100" w:type="dxa"/>
              <w:start w:w="120" w:type="dxa"/>
              <w:bottom w:w="100" w:type="dxa"/>
              <w:end w:w="120" w:type="dxa"/>
            </w:tcMar>
          </w:tcPr>
          <w:p>
            <w:pPr>
              <w:spacing w:after="0"/>
            </w:pPr>
            <w:r>
              <w:rPr>
                <w:sz w:val="18"/>
              </w:rPr>
              <w:t>Content, SEO and thought leadership</w:t>
            </w:r>
          </w:p>
        </w:tc>
      </w:tr>
      <w:tr>
        <w:trPr>
          <w:cantSplit/>
        </w:trPr>
        <w:tc>
          <w:tcPr>
            <w:tcW w:type="dxa" w:w="1152"/>
            <w:vAlign w:val="center"/>
            <w:tcMar>
              <w:top w:w="100" w:type="dxa"/>
              <w:start w:w="120" w:type="dxa"/>
              <w:bottom w:w="100" w:type="dxa"/>
              <w:end w:w="120" w:type="dxa"/>
            </w:tcMar>
          </w:tcPr>
          <w:p>
            <w:pPr>
              <w:spacing w:after="0"/>
            </w:pPr>
            <w:r>
              <w:rPr>
                <w:sz w:val="18"/>
              </w:rPr>
              <w:t>11</w:t>
            </w:r>
          </w:p>
        </w:tc>
        <w:tc>
          <w:tcPr>
            <w:tcW w:type="dxa" w:w="8352"/>
            <w:vAlign w:val="center"/>
            <w:tcMar>
              <w:top w:w="100" w:type="dxa"/>
              <w:start w:w="120" w:type="dxa"/>
              <w:bottom w:w="100" w:type="dxa"/>
              <w:end w:w="120" w:type="dxa"/>
            </w:tcMar>
          </w:tcPr>
          <w:p>
            <w:pPr>
              <w:spacing w:after="0"/>
            </w:pPr>
            <w:r>
              <w:rPr>
                <w:sz w:val="18"/>
              </w:rPr>
              <w:t>Procurement and enterprise trust</w:t>
            </w:r>
          </w:p>
        </w:tc>
      </w:tr>
      <w:tr>
        <w:trPr>
          <w:cantSplit/>
        </w:trPr>
        <w:tc>
          <w:tcPr>
            <w:tcW w:type="dxa" w:w="1152"/>
            <w:vAlign w:val="center"/>
            <w:tcMar>
              <w:top w:w="100" w:type="dxa"/>
              <w:start w:w="120" w:type="dxa"/>
              <w:bottom w:w="100" w:type="dxa"/>
              <w:end w:w="120" w:type="dxa"/>
            </w:tcMar>
          </w:tcPr>
          <w:p>
            <w:pPr>
              <w:spacing w:after="0"/>
            </w:pPr>
            <w:r>
              <w:rPr>
                <w:sz w:val="18"/>
              </w:rPr>
              <w:t>12</w:t>
            </w:r>
          </w:p>
        </w:tc>
        <w:tc>
          <w:tcPr>
            <w:tcW w:type="dxa" w:w="8352"/>
            <w:vAlign w:val="center"/>
            <w:tcMar>
              <w:top w:w="100" w:type="dxa"/>
              <w:start w:w="120" w:type="dxa"/>
              <w:bottom w:w="100" w:type="dxa"/>
              <w:end w:w="120" w:type="dxa"/>
            </w:tcMar>
          </w:tcPr>
          <w:p>
            <w:pPr>
              <w:spacing w:after="0"/>
            </w:pPr>
            <w:r>
              <w:rPr>
                <w:sz w:val="18"/>
              </w:rPr>
              <w:t>Partnership and channel sales</w:t>
            </w:r>
          </w:p>
        </w:tc>
      </w:tr>
      <w:tr>
        <w:trPr>
          <w:cantSplit/>
        </w:trPr>
        <w:tc>
          <w:tcPr>
            <w:tcW w:type="dxa" w:w="1152"/>
            <w:vAlign w:val="center"/>
            <w:tcMar>
              <w:top w:w="100" w:type="dxa"/>
              <w:start w:w="120" w:type="dxa"/>
              <w:bottom w:w="100" w:type="dxa"/>
              <w:end w:w="120" w:type="dxa"/>
            </w:tcMar>
          </w:tcPr>
          <w:p>
            <w:pPr>
              <w:spacing w:after="0"/>
            </w:pPr>
            <w:r>
              <w:rPr>
                <w:sz w:val="18"/>
              </w:rPr>
              <w:t>13</w:t>
            </w:r>
          </w:p>
        </w:tc>
        <w:tc>
          <w:tcPr>
            <w:tcW w:type="dxa" w:w="8352"/>
            <w:vAlign w:val="center"/>
            <w:tcMar>
              <w:top w:w="100" w:type="dxa"/>
              <w:start w:w="120" w:type="dxa"/>
              <w:bottom w:w="100" w:type="dxa"/>
              <w:end w:w="120" w:type="dxa"/>
            </w:tcMar>
          </w:tcPr>
          <w:p>
            <w:pPr>
              <w:spacing w:after="0"/>
            </w:pPr>
            <w:r>
              <w:rPr>
                <w:sz w:val="18"/>
              </w:rPr>
              <w:t>Sales funnel and commercial motion</w:t>
            </w:r>
          </w:p>
        </w:tc>
      </w:tr>
      <w:tr>
        <w:trPr>
          <w:cantSplit/>
        </w:trPr>
        <w:tc>
          <w:tcPr>
            <w:tcW w:type="dxa" w:w="1152"/>
            <w:vAlign w:val="center"/>
            <w:tcMar>
              <w:top w:w="100" w:type="dxa"/>
              <w:start w:w="120" w:type="dxa"/>
              <w:bottom w:w="100" w:type="dxa"/>
              <w:end w:w="120" w:type="dxa"/>
            </w:tcMar>
          </w:tcPr>
          <w:p>
            <w:pPr>
              <w:spacing w:after="0"/>
            </w:pPr>
            <w:r>
              <w:rPr>
                <w:sz w:val="18"/>
              </w:rPr>
              <w:t>14</w:t>
            </w:r>
          </w:p>
        </w:tc>
        <w:tc>
          <w:tcPr>
            <w:tcW w:type="dxa" w:w="8352"/>
            <w:vAlign w:val="center"/>
            <w:tcMar>
              <w:top w:w="100" w:type="dxa"/>
              <w:start w:w="120" w:type="dxa"/>
              <w:bottom w:w="100" w:type="dxa"/>
              <w:end w:w="120" w:type="dxa"/>
            </w:tcMar>
          </w:tcPr>
          <w:p>
            <w:pPr>
              <w:spacing w:after="0"/>
            </w:pPr>
            <w:r>
              <w:rPr>
                <w:sz w:val="18"/>
              </w:rPr>
              <w:t>Six-month execution plan</w:t>
            </w:r>
          </w:p>
        </w:tc>
      </w:tr>
      <w:tr>
        <w:trPr>
          <w:cantSplit/>
        </w:trPr>
        <w:tc>
          <w:tcPr>
            <w:tcW w:type="dxa" w:w="1152"/>
            <w:vAlign w:val="center"/>
            <w:tcMar>
              <w:top w:w="100" w:type="dxa"/>
              <w:start w:w="120" w:type="dxa"/>
              <w:bottom w:w="100" w:type="dxa"/>
              <w:end w:w="120" w:type="dxa"/>
            </w:tcMar>
          </w:tcPr>
          <w:p>
            <w:pPr>
              <w:spacing w:after="0"/>
            </w:pPr>
            <w:r>
              <w:rPr>
                <w:sz w:val="18"/>
              </w:rPr>
              <w:t>15</w:t>
            </w:r>
          </w:p>
        </w:tc>
        <w:tc>
          <w:tcPr>
            <w:tcW w:type="dxa" w:w="8352"/>
            <w:vAlign w:val="center"/>
            <w:tcMar>
              <w:top w:w="100" w:type="dxa"/>
              <w:start w:w="120" w:type="dxa"/>
              <w:bottom w:w="100" w:type="dxa"/>
              <w:end w:w="120" w:type="dxa"/>
            </w:tcMar>
          </w:tcPr>
          <w:p>
            <w:pPr>
              <w:spacing w:after="0"/>
            </w:pPr>
            <w:r>
              <w:rPr>
                <w:sz w:val="18"/>
              </w:rPr>
              <w:t>Twelve-month objectives and KPIs</w:t>
            </w:r>
          </w:p>
        </w:tc>
      </w:tr>
      <w:tr>
        <w:trPr>
          <w:cantSplit/>
        </w:trPr>
        <w:tc>
          <w:tcPr>
            <w:tcW w:type="dxa" w:w="1152"/>
            <w:vAlign w:val="center"/>
            <w:tcMar>
              <w:top w:w="100" w:type="dxa"/>
              <w:start w:w="120" w:type="dxa"/>
              <w:bottom w:w="100" w:type="dxa"/>
              <w:end w:w="120" w:type="dxa"/>
            </w:tcMar>
          </w:tcPr>
          <w:p>
            <w:pPr>
              <w:spacing w:after="0"/>
            </w:pPr>
            <w:r>
              <w:rPr>
                <w:sz w:val="18"/>
              </w:rPr>
              <w:t>16</w:t>
            </w:r>
          </w:p>
        </w:tc>
        <w:tc>
          <w:tcPr>
            <w:tcW w:type="dxa" w:w="8352"/>
            <w:vAlign w:val="center"/>
            <w:tcMar>
              <w:top w:w="100" w:type="dxa"/>
              <w:start w:w="120" w:type="dxa"/>
              <w:bottom w:w="100" w:type="dxa"/>
              <w:end w:w="120" w:type="dxa"/>
            </w:tcMar>
          </w:tcPr>
          <w:p>
            <w:pPr>
              <w:spacing w:after="0"/>
            </w:pPr>
            <w:r>
              <w:rPr>
                <w:sz w:val="18"/>
              </w:rPr>
              <w:t>Messaging library</w:t>
            </w:r>
          </w:p>
        </w:tc>
      </w:tr>
      <w:tr>
        <w:trPr>
          <w:cantSplit/>
        </w:trPr>
        <w:tc>
          <w:tcPr>
            <w:tcW w:type="dxa" w:w="1152"/>
            <w:vAlign w:val="center"/>
            <w:tcMar>
              <w:top w:w="100" w:type="dxa"/>
              <w:start w:w="120" w:type="dxa"/>
              <w:bottom w:w="100" w:type="dxa"/>
              <w:end w:w="120" w:type="dxa"/>
            </w:tcMar>
          </w:tcPr>
          <w:p>
            <w:pPr>
              <w:spacing w:after="0"/>
            </w:pPr>
            <w:r>
              <w:rPr>
                <w:sz w:val="18"/>
              </w:rPr>
              <w:t>17</w:t>
            </w:r>
          </w:p>
        </w:tc>
        <w:tc>
          <w:tcPr>
            <w:tcW w:type="dxa" w:w="8352"/>
            <w:vAlign w:val="center"/>
            <w:tcMar>
              <w:top w:w="100" w:type="dxa"/>
              <w:start w:w="120" w:type="dxa"/>
              <w:bottom w:w="100" w:type="dxa"/>
              <w:end w:w="120" w:type="dxa"/>
            </w:tcMar>
          </w:tcPr>
          <w:p>
            <w:pPr>
              <w:spacing w:after="0"/>
            </w:pPr>
            <w:r>
              <w:rPr>
                <w:sz w:val="18"/>
              </w:rPr>
              <w:t>Risks and guardrails</w:t>
            </w:r>
          </w:p>
        </w:tc>
      </w:tr>
      <w:tr>
        <w:trPr>
          <w:cantSplit/>
        </w:trPr>
        <w:tc>
          <w:tcPr>
            <w:tcW w:type="dxa" w:w="1152"/>
            <w:vAlign w:val="center"/>
            <w:tcMar>
              <w:top w:w="100" w:type="dxa"/>
              <w:start w:w="120" w:type="dxa"/>
              <w:bottom w:w="100" w:type="dxa"/>
              <w:end w:w="120" w:type="dxa"/>
            </w:tcMar>
          </w:tcPr>
          <w:p>
            <w:pPr>
              <w:spacing w:after="0"/>
            </w:pPr>
            <w:r>
              <w:rPr>
                <w:sz w:val="18"/>
              </w:rPr>
              <w:t>18</w:t>
            </w:r>
          </w:p>
        </w:tc>
        <w:tc>
          <w:tcPr>
            <w:tcW w:type="dxa" w:w="8352"/>
            <w:vAlign w:val="center"/>
            <w:tcMar>
              <w:top w:w="100" w:type="dxa"/>
              <w:start w:w="120" w:type="dxa"/>
              <w:bottom w:w="100" w:type="dxa"/>
              <w:end w:w="120" w:type="dxa"/>
            </w:tcMar>
          </w:tcPr>
          <w:p>
            <w:pPr>
              <w:spacing w:after="0"/>
            </w:pPr>
            <w:r>
              <w:rPr>
                <w:sz w:val="18"/>
              </w:rPr>
              <w:t>Recommended source channels and references</w:t>
            </w:r>
          </w:p>
        </w:tc>
      </w:tr>
    </w:tbl>
    <w:p>
      <w:r>
        <w:br w:type="page"/>
      </w:r>
    </w:p>
    <w:p>
      <w:pPr>
        <w:spacing w:after="40"/>
      </w:pPr>
      <w:r>
        <w:rPr>
          <w:b/>
          <w:color w:val="B7893B"/>
          <w:sz w:val="17"/>
        </w:rPr>
        <w:t>01</w:t>
      </w:r>
    </w:p>
    <w:p>
      <w:pPr>
        <w:pStyle w:val="Heading1"/>
        <w:keepNext/>
      </w:pPr>
      <w:r>
        <w:t>Executive summary</w:t>
      </w:r>
    </w:p>
    <w:p>
      <w:r>
        <w:t>MAG should enter the market through a reference-led enterprise strategy rather than through broad low-cost SaaS acquisition. The immediate opportunity is to use a small number of Serbian museums as controlled pilot environments, generate credible usage data, convert those installations into strong case studies, and then use the evidence to approach larger European public and state-funded institutions.</w:t>
      </w:r>
    </w:p>
    <w:tbl>
      <w:tblPr>
        <w:tblW w:type="auto" w:w="0"/>
        <w:jc w:val="center"/>
        <w:tblLook w:firstColumn="1" w:firstRow="1" w:lastColumn="0" w:lastRow="0" w:noHBand="0" w:noVBand="1" w:val="04A0"/>
      </w:tblPr>
      <w:tblGrid>
        <w:gridCol w:w="10080"/>
      </w:tblGrid>
      <w:tr>
        <w:tc>
          <w:tcPr>
            <w:tcW w:type="dxa" w:w="10080"/>
            <w:shd w:fill="F6F0E6"/>
            <w:tcMar>
              <w:top w:w="120" w:type="dxa"/>
              <w:start w:w="180" w:type="dxa"/>
              <w:bottom w:w="120" w:type="dxa"/>
              <w:end w:w="180" w:type="dxa"/>
            </w:tcMar>
          </w:tcPr>
          <w:p>
            <w:pPr>
              <w:spacing w:after="80"/>
            </w:pPr>
            <w:r>
              <w:rPr>
                <w:b/>
                <w:color w:val="B7893B"/>
                <w:sz w:val="22"/>
              </w:rPr>
              <w:t>Core go-to-market idea</w:t>
            </w:r>
          </w:p>
          <w:p>
            <w:pPr>
              <w:spacing w:after="0" w:line="264" w:lineRule="auto"/>
            </w:pPr>
            <w:r>
              <w:t>Use local relationships to create proof. Use proof to create authority. Use authority to sell larger institutional deployments.</w:t>
            </w:r>
          </w:p>
        </w:tc>
      </w:tr>
    </w:tbl>
    <w:p>
      <w:pPr>
        <w:spacing w:after="0"/>
      </w:pPr>
    </w:p>
    <w:p>
      <w:pPr>
        <w:pStyle w:val="ListBullet"/>
        <w:spacing w:after="40"/>
      </w:pPr>
      <w:r>
        <w:t>Position MAG as a digital visitor platform, not as a WordPress plugin or a simple audio-guide tool.</w:t>
      </w:r>
    </w:p>
    <w:p>
      <w:pPr>
        <w:pStyle w:val="ListBullet"/>
        <w:spacing w:after="40"/>
      </w:pPr>
      <w:r>
        <w:t>Prioritise reference institutions, implementation quality and measurable visitor outcomes over early recurring revenue.</w:t>
      </w:r>
    </w:p>
    <w:p>
      <w:pPr>
        <w:pStyle w:val="ListBullet"/>
        <w:spacing w:after="40"/>
      </w:pPr>
      <w:r>
        <w:t>Build the website around case studies, architecture, procurement confidence and a live product demo.</w:t>
      </w:r>
    </w:p>
    <w:p>
      <w:pPr>
        <w:pStyle w:val="ListBullet"/>
        <w:spacing w:after="40"/>
      </w:pPr>
      <w:r>
        <w:t>Use professional museum networks, specialist conferences, targeted LinkedIn content and partnerships before mass paid advertising.</w:t>
      </w:r>
    </w:p>
    <w:p>
      <w:pPr>
        <w:pStyle w:val="ListBullet"/>
        <w:spacing w:after="40"/>
      </w:pPr>
      <w:r>
        <w:t>Design every pilot from day one to produce analytics, testimonials, screenshots, video material and procurement-grade documentation.</w:t>
      </w:r>
    </w:p>
    <w:p>
      <w:pPr>
        <w:pStyle w:val="ListBullet"/>
        <w:spacing w:after="40"/>
      </w:pPr>
      <w:r>
        <w:t>Sell the platform as implementation + integration + annual license + support/SLA, with enterprise pricing rather than commodity pricing.</w:t>
      </w:r>
    </w:p>
    <w:p>
      <w:pPr>
        <w:spacing w:after="40"/>
      </w:pPr>
      <w:r>
        <w:rPr>
          <w:b/>
          <w:color w:val="B7893B"/>
          <w:sz w:val="17"/>
        </w:rPr>
        <w:t>02</w:t>
      </w:r>
    </w:p>
    <w:p>
      <w:pPr>
        <w:pStyle w:val="Heading1"/>
        <w:keepNext/>
      </w:pPr>
      <w:r>
        <w:t>Launch thesis: Serbia as proof market</w:t>
      </w:r>
    </w:p>
    <w:p>
      <w:r>
        <w:t>The Serbian museum market should be treated as a strategic launch environment rather than the final addressable market. Existing relationships can materially reduce the cost and friction of the first deployments, while the museums themselves can provide realistic operational conditions, visitor traffic, multilingual needs, curatorial workflows and physical-space constraints.</w:t>
      </w:r>
    </w:p>
    <w:p>
      <w:pPr>
        <w:pStyle w:val="Heading2"/>
        <w:keepNext/>
      </w:pPr>
      <w:r>
        <w:t>Why this is valuable</w:t>
      </w:r>
    </w:p>
    <w:p>
      <w:pPr>
        <w:pStyle w:val="ListBullet"/>
        <w:spacing w:after="40"/>
      </w:pPr>
      <w:r>
        <w:t>It allows MAG to be tested in real museum conditions instead of in a synthetic demo environment.</w:t>
      </w:r>
    </w:p>
    <w:p>
      <w:pPr>
        <w:pStyle w:val="ListBullet"/>
        <w:spacing w:after="40"/>
      </w:pPr>
      <w:r>
        <w:t>It creates named institutional references that can be used in European sales conversations.</w:t>
      </w:r>
    </w:p>
    <w:p>
      <w:pPr>
        <w:pStyle w:val="ListBullet"/>
        <w:spacing w:after="40"/>
      </w:pPr>
      <w:r>
        <w:t>It generates longitudinal visitor analytics and operational lessons that competitors cannot easily replicate through marketing copy.</w:t>
      </w:r>
    </w:p>
    <w:p>
      <w:pPr>
        <w:pStyle w:val="ListBullet"/>
        <w:spacing w:after="40"/>
      </w:pPr>
      <w:r>
        <w:t>It exposes implementation problems early: Wi-Fi, mobile reception, QR placement, content length, map usability, accessibility and editorial workflow.</w:t>
      </w:r>
    </w:p>
    <w:p>
      <w:pPr>
        <w:pStyle w:val="ListBullet"/>
        <w:spacing w:after="40"/>
      </w:pPr>
      <w:r>
        <w:t>It produces credible procurement evidence: implementation duration, training needs, support load and content-maintenance effort.</w:t>
      </w:r>
    </w:p>
    <w:p>
      <w:pPr>
        <w:pStyle w:val="Heading2"/>
        <w:keepNext/>
      </w:pPr>
      <w:r>
        <w:t>Recommended pilot mix</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448"/>
            <w:shd w:fill="17324D"/>
            <w:vAlign w:val="center"/>
            <w:tcMar>
              <w:top w:w="100" w:type="dxa"/>
              <w:start w:w="120" w:type="dxa"/>
              <w:bottom w:w="100" w:type="dxa"/>
              <w:end w:w="120" w:type="dxa"/>
            </w:tcMar>
          </w:tcPr>
          <w:p>
            <w:pPr>
              <w:jc w:val="center"/>
            </w:pPr>
            <w:r>
              <w:rPr>
                <w:b/>
                <w:color w:val="FFFFFF"/>
                <w:sz w:val="19"/>
              </w:rPr>
              <w:t>Pilot type</w:t>
            </w:r>
          </w:p>
        </w:tc>
        <w:tc>
          <w:tcPr>
            <w:tcW w:type="dxa" w:w="3456"/>
            <w:shd w:fill="17324D"/>
            <w:vAlign w:val="center"/>
            <w:tcMar>
              <w:top w:w="100" w:type="dxa"/>
              <w:start w:w="120" w:type="dxa"/>
              <w:bottom w:w="100" w:type="dxa"/>
              <w:end w:w="120" w:type="dxa"/>
            </w:tcMar>
          </w:tcPr>
          <w:p>
            <w:pPr>
              <w:jc w:val="center"/>
            </w:pPr>
            <w:r>
              <w:rPr>
                <w:b/>
                <w:color w:val="FFFFFF"/>
                <w:sz w:val="19"/>
              </w:rPr>
              <w:t>What it tests</w:t>
            </w:r>
          </w:p>
        </w:tc>
        <w:tc>
          <w:tcPr>
            <w:tcW w:type="dxa" w:w="3888"/>
            <w:shd w:fill="17324D"/>
            <w:vAlign w:val="center"/>
            <w:tcMar>
              <w:top w:w="100" w:type="dxa"/>
              <w:start w:w="120" w:type="dxa"/>
              <w:bottom w:w="100" w:type="dxa"/>
              <w:end w:w="120" w:type="dxa"/>
            </w:tcMar>
          </w:tcPr>
          <w:p>
            <w:pPr>
              <w:jc w:val="center"/>
            </w:pPr>
            <w:r>
              <w:rPr>
                <w:b/>
                <w:color w:val="FFFFFF"/>
                <w:sz w:val="19"/>
              </w:rPr>
              <w:t>Why it matters</w:t>
            </w:r>
          </w:p>
        </w:tc>
      </w:tr>
      <w:tr>
        <w:trPr>
          <w:cantSplit/>
        </w:trPr>
        <w:tc>
          <w:tcPr>
            <w:tcW w:type="dxa" w:w="2448"/>
            <w:vAlign w:val="center"/>
            <w:tcMar>
              <w:top w:w="100" w:type="dxa"/>
              <w:start w:w="120" w:type="dxa"/>
              <w:bottom w:w="100" w:type="dxa"/>
              <w:end w:w="120" w:type="dxa"/>
            </w:tcMar>
          </w:tcPr>
          <w:p>
            <w:pPr>
              <w:spacing w:after="0"/>
            </w:pPr>
            <w:r>
              <w:rPr>
                <w:sz w:val="18"/>
              </w:rPr>
              <w:t>Small monographic museum</w:t>
            </w:r>
          </w:p>
        </w:tc>
        <w:tc>
          <w:tcPr>
            <w:tcW w:type="dxa" w:w="3456"/>
            <w:vAlign w:val="center"/>
            <w:tcMar>
              <w:top w:w="100" w:type="dxa"/>
              <w:start w:w="120" w:type="dxa"/>
              <w:bottom w:w="100" w:type="dxa"/>
              <w:end w:w="120" w:type="dxa"/>
            </w:tcMar>
          </w:tcPr>
          <w:p>
            <w:pPr>
              <w:spacing w:after="0"/>
            </w:pPr>
            <w:r>
              <w:rPr>
                <w:sz w:val="18"/>
              </w:rPr>
              <w:t>Simple visitor journey, compact content model, fast deployment</w:t>
            </w:r>
          </w:p>
        </w:tc>
        <w:tc>
          <w:tcPr>
            <w:tcW w:type="dxa" w:w="3888"/>
            <w:vAlign w:val="center"/>
            <w:tcMar>
              <w:top w:w="100" w:type="dxa"/>
              <w:start w:w="120" w:type="dxa"/>
              <w:bottom w:w="100" w:type="dxa"/>
              <w:end w:w="120" w:type="dxa"/>
            </w:tcMar>
          </w:tcPr>
          <w:p>
            <w:pPr>
              <w:spacing w:after="0"/>
            </w:pPr>
            <w:r>
              <w:rPr>
                <w:sz w:val="18"/>
              </w:rPr>
              <w:t>Shows low-friction implementation and strong storytelling</w:t>
            </w:r>
          </w:p>
        </w:tc>
      </w:tr>
      <w:tr>
        <w:trPr>
          <w:cantSplit/>
        </w:trPr>
        <w:tc>
          <w:tcPr>
            <w:tcW w:type="dxa" w:w="2448"/>
            <w:vAlign w:val="center"/>
            <w:tcMar>
              <w:top w:w="100" w:type="dxa"/>
              <w:start w:w="120" w:type="dxa"/>
              <w:bottom w:w="100" w:type="dxa"/>
              <w:end w:w="120" w:type="dxa"/>
            </w:tcMar>
          </w:tcPr>
          <w:p>
            <w:pPr>
              <w:spacing w:after="0"/>
            </w:pPr>
            <w:r>
              <w:rPr>
                <w:sz w:val="18"/>
              </w:rPr>
              <w:t>Larger museum with collections</w:t>
            </w:r>
          </w:p>
        </w:tc>
        <w:tc>
          <w:tcPr>
            <w:tcW w:type="dxa" w:w="3456"/>
            <w:vAlign w:val="center"/>
            <w:tcMar>
              <w:top w:w="100" w:type="dxa"/>
              <w:start w:w="120" w:type="dxa"/>
              <w:bottom w:w="100" w:type="dxa"/>
              <w:end w:w="120" w:type="dxa"/>
            </w:tcMar>
          </w:tcPr>
          <w:p>
            <w:pPr>
              <w:spacing w:after="0"/>
            </w:pPr>
            <w:r>
              <w:rPr>
                <w:sz w:val="18"/>
              </w:rPr>
              <w:t>Integration with an existing collection database and multiple content types</w:t>
            </w:r>
          </w:p>
        </w:tc>
        <w:tc>
          <w:tcPr>
            <w:tcW w:type="dxa" w:w="3888"/>
            <w:vAlign w:val="center"/>
            <w:tcMar>
              <w:top w:w="100" w:type="dxa"/>
              <w:start w:w="120" w:type="dxa"/>
              <w:bottom w:w="100" w:type="dxa"/>
              <w:end w:w="120" w:type="dxa"/>
            </w:tcMar>
          </w:tcPr>
          <w:p>
            <w:pPr>
              <w:spacing w:after="0"/>
            </w:pPr>
            <w:r>
              <w:rPr>
                <w:sz w:val="18"/>
              </w:rPr>
              <w:t>Demonstrates the core MAG integration advantage</w:t>
            </w:r>
          </w:p>
        </w:tc>
      </w:tr>
      <w:tr>
        <w:trPr>
          <w:cantSplit/>
        </w:trPr>
        <w:tc>
          <w:tcPr>
            <w:tcW w:type="dxa" w:w="2448"/>
            <w:vAlign w:val="center"/>
            <w:tcMar>
              <w:top w:w="100" w:type="dxa"/>
              <w:start w:w="120" w:type="dxa"/>
              <w:bottom w:w="100" w:type="dxa"/>
              <w:end w:w="120" w:type="dxa"/>
            </w:tcMar>
          </w:tcPr>
          <w:p>
            <w:pPr>
              <w:spacing w:after="0"/>
            </w:pPr>
            <w:r>
              <w:rPr>
                <w:sz w:val="18"/>
              </w:rPr>
              <w:t>Multi-floor museum</w:t>
            </w:r>
          </w:p>
        </w:tc>
        <w:tc>
          <w:tcPr>
            <w:tcW w:type="dxa" w:w="3456"/>
            <w:vAlign w:val="center"/>
            <w:tcMar>
              <w:top w:w="100" w:type="dxa"/>
              <w:start w:w="120" w:type="dxa"/>
              <w:bottom w:w="100" w:type="dxa"/>
              <w:end w:w="120" w:type="dxa"/>
            </w:tcMar>
          </w:tcPr>
          <w:p>
            <w:pPr>
              <w:spacing w:after="0"/>
            </w:pPr>
            <w:r>
              <w:rPr>
                <w:sz w:val="18"/>
              </w:rPr>
              <w:t>Floor maps, room hierarchy, tour transitions</w:t>
            </w:r>
          </w:p>
        </w:tc>
        <w:tc>
          <w:tcPr>
            <w:tcW w:type="dxa" w:w="3888"/>
            <w:vAlign w:val="center"/>
            <w:tcMar>
              <w:top w:w="100" w:type="dxa"/>
              <w:start w:w="120" w:type="dxa"/>
              <w:bottom w:w="100" w:type="dxa"/>
              <w:end w:w="120" w:type="dxa"/>
            </w:tcMar>
          </w:tcPr>
          <w:p>
            <w:pPr>
              <w:spacing w:after="0"/>
            </w:pPr>
            <w:r>
              <w:rPr>
                <w:sz w:val="18"/>
              </w:rPr>
              <w:t>Proves indoor navigation and complex spatial structure</w:t>
            </w:r>
          </w:p>
        </w:tc>
      </w:tr>
      <w:tr>
        <w:trPr>
          <w:cantSplit/>
        </w:trPr>
        <w:tc>
          <w:tcPr>
            <w:tcW w:type="dxa" w:w="2448"/>
            <w:vAlign w:val="center"/>
            <w:tcMar>
              <w:top w:w="100" w:type="dxa"/>
              <w:start w:w="120" w:type="dxa"/>
              <w:bottom w:w="100" w:type="dxa"/>
              <w:end w:w="120" w:type="dxa"/>
            </w:tcMar>
          </w:tcPr>
          <w:p>
            <w:pPr>
              <w:spacing w:after="0"/>
            </w:pPr>
            <w:r>
              <w:rPr>
                <w:sz w:val="18"/>
              </w:rPr>
              <w:t>Outdoor / hybrid site</w:t>
            </w:r>
          </w:p>
        </w:tc>
        <w:tc>
          <w:tcPr>
            <w:tcW w:type="dxa" w:w="3456"/>
            <w:vAlign w:val="center"/>
            <w:tcMar>
              <w:top w:w="100" w:type="dxa"/>
              <w:start w:w="120" w:type="dxa"/>
              <w:bottom w:w="100" w:type="dxa"/>
              <w:end w:w="120" w:type="dxa"/>
            </w:tcMar>
          </w:tcPr>
          <w:p>
            <w:pPr>
              <w:spacing w:after="0"/>
            </w:pPr>
            <w:r>
              <w:rPr>
                <w:sz w:val="18"/>
              </w:rPr>
              <w:t>GPS and proximity behaviour</w:t>
            </w:r>
          </w:p>
        </w:tc>
        <w:tc>
          <w:tcPr>
            <w:tcW w:type="dxa" w:w="3888"/>
            <w:vAlign w:val="center"/>
            <w:tcMar>
              <w:top w:w="100" w:type="dxa"/>
              <w:start w:w="120" w:type="dxa"/>
              <w:bottom w:w="100" w:type="dxa"/>
              <w:end w:w="120" w:type="dxa"/>
            </w:tcMar>
          </w:tcPr>
          <w:p>
            <w:pPr>
              <w:spacing w:after="0"/>
            </w:pPr>
            <w:r>
              <w:rPr>
                <w:sz w:val="18"/>
              </w:rPr>
              <w:t>Demonstrates that MAG is more than an indoor audio guide</w:t>
            </w:r>
          </w:p>
        </w:tc>
      </w:tr>
    </w:tbl>
    <w:p>
      <w:pPr>
        <w:spacing w:after="40"/>
      </w:pPr>
      <w:r>
        <w:rPr>
          <w:b/>
          <w:color w:val="B7893B"/>
          <w:sz w:val="17"/>
        </w:rPr>
        <w:t>03</w:t>
      </w:r>
    </w:p>
    <w:p>
      <w:pPr>
        <w:pStyle w:val="Heading1"/>
        <w:keepNext/>
      </w:pPr>
      <w:r>
        <w:t>Founding Museum Programme</w:t>
      </w:r>
    </w:p>
    <w:p>
      <w:r>
        <w:t>The first 3–5 museums should be invited into a formal “Founding Museum Programme”. This is more professional than positioning the work as a free experiment and makes expectations explicit on both sides.</w:t>
      </w:r>
    </w:p>
    <w:p>
      <w:pPr>
        <w:pStyle w:val="Heading2"/>
        <w:keepNext/>
      </w:pPr>
      <w:r>
        <w:t>What founding museums receive</w:t>
      </w:r>
    </w:p>
    <w:p>
      <w:pPr>
        <w:pStyle w:val="ListBullet"/>
        <w:spacing w:after="40"/>
      </w:pPr>
      <w:r>
        <w:t>Preferential implementation terms or a reduced first-year license</w:t>
      </w:r>
    </w:p>
    <w:p>
      <w:pPr>
        <w:pStyle w:val="ListBullet"/>
        <w:spacing w:after="40"/>
      </w:pPr>
      <w:r>
        <w:t>Direct access to the product team</w:t>
      </w:r>
    </w:p>
    <w:p>
      <w:pPr>
        <w:pStyle w:val="ListBullet"/>
        <w:spacing w:after="40"/>
      </w:pPr>
      <w:r>
        <w:t>Influence on the roadmap</w:t>
      </w:r>
    </w:p>
    <w:p>
      <w:pPr>
        <w:pStyle w:val="ListBullet"/>
        <w:spacing w:after="40"/>
      </w:pPr>
      <w:r>
        <w:t>Priority support during the pilot period</w:t>
      </w:r>
    </w:p>
    <w:p>
      <w:pPr>
        <w:pStyle w:val="ListBullet"/>
        <w:spacing w:after="40"/>
      </w:pPr>
      <w:r>
        <w:t>Early access to new features where operationally appropriate</w:t>
      </w:r>
    </w:p>
    <w:p>
      <w:pPr>
        <w:pStyle w:val="Heading2"/>
        <w:keepNext/>
      </w:pPr>
      <w:r>
        <w:t>What MAG receives</w:t>
      </w:r>
    </w:p>
    <w:p>
      <w:pPr>
        <w:pStyle w:val="ListBullet"/>
        <w:spacing w:after="40"/>
      </w:pPr>
      <w:r>
        <w:t>Permission to name the institution as a reference</w:t>
      </w:r>
    </w:p>
    <w:p>
      <w:pPr>
        <w:pStyle w:val="ListBullet"/>
        <w:spacing w:after="40"/>
      </w:pPr>
      <w:r>
        <w:t>Permission to publish an agreed case study</w:t>
      </w:r>
    </w:p>
    <w:p>
      <w:pPr>
        <w:pStyle w:val="ListBullet"/>
        <w:spacing w:after="40"/>
      </w:pPr>
      <w:r>
        <w:t>Permission to use anonymised and aggregated usage analytics</w:t>
      </w:r>
    </w:p>
    <w:p>
      <w:pPr>
        <w:pStyle w:val="ListBullet"/>
        <w:spacing w:after="40"/>
      </w:pPr>
      <w:r>
        <w:t>Permission to capture product screenshots and installation photography</w:t>
      </w:r>
    </w:p>
    <w:p>
      <w:pPr>
        <w:pStyle w:val="ListBullet"/>
        <w:spacing w:after="40"/>
      </w:pPr>
      <w:r>
        <w:t>A short testimonial from an authorised museum representative</w:t>
      </w:r>
    </w:p>
    <w:p>
      <w:pPr>
        <w:pStyle w:val="ListBullet"/>
        <w:spacing w:after="40"/>
      </w:pPr>
      <w:r>
        <w:t>Where possible, participation in a conference talk, webinar or interview</w:t>
      </w:r>
    </w:p>
    <w:tbl>
      <w:tblPr>
        <w:tblW w:type="auto" w:w="0"/>
        <w:jc w:val="center"/>
        <w:tblLook w:firstColumn="1" w:firstRow="1" w:lastColumn="0" w:lastRow="0" w:noHBand="0" w:noVBand="1" w:val="04A0"/>
      </w:tblPr>
      <w:tblGrid>
        <w:gridCol w:w="10080"/>
      </w:tblGrid>
      <w:tr>
        <w:tc>
          <w:tcPr>
            <w:tcW w:type="dxa" w:w="10080"/>
            <w:shd w:fill="FCEFEF"/>
            <w:tcMar>
              <w:top w:w="120" w:type="dxa"/>
              <w:start w:w="180" w:type="dxa"/>
              <w:bottom w:w="120" w:type="dxa"/>
              <w:end w:w="180" w:type="dxa"/>
            </w:tcMar>
          </w:tcPr>
          <w:p>
            <w:pPr>
              <w:spacing w:after="80"/>
            </w:pPr>
            <w:r>
              <w:rPr>
                <w:b/>
                <w:color w:val="8C3A3A"/>
                <w:sz w:val="22"/>
              </w:rPr>
              <w:t>Contractual point</w:t>
            </w:r>
          </w:p>
          <w:p>
            <w:pPr>
              <w:spacing w:after="0" w:line="264" w:lineRule="auto"/>
            </w:pPr>
            <w:r>
              <w:t>Rights to case-study use, aggregated analytics, screenshots and testimonials should be agreed before implementation. They should not be requested only after the museum has already received the pilot.</w:t>
            </w:r>
          </w:p>
        </w:tc>
      </w:tr>
    </w:tbl>
    <w:p>
      <w:pPr>
        <w:spacing w:after="0"/>
      </w:pPr>
    </w:p>
    <w:p>
      <w:pPr>
        <w:spacing w:after="40"/>
      </w:pPr>
      <w:r>
        <w:rPr>
          <w:b/>
          <w:color w:val="B7893B"/>
          <w:sz w:val="17"/>
        </w:rPr>
        <w:t>04</w:t>
      </w:r>
    </w:p>
    <w:p>
      <w:pPr>
        <w:pStyle w:val="Heading1"/>
        <w:keepNext/>
      </w:pPr>
      <w:r>
        <w:t>Case study and analytics framework</w:t>
      </w:r>
    </w:p>
    <w:p>
      <w:r>
        <w:t>A museum case study should show a measurable transformation, not merely a successful installation. Each pilot should therefore use a standard measurement framework so that data is comparable across institutions.</w:t>
      </w:r>
    </w:p>
    <w:p>
      <w:pPr>
        <w:pStyle w:val="Heading2"/>
        <w:keepNext/>
      </w:pPr>
      <w:r>
        <w:t>Standard case-study structure</w:t>
      </w:r>
    </w:p>
    <w:p>
      <w:pPr>
        <w:pStyle w:val="ListNumber"/>
        <w:spacing w:after="40"/>
      </w:pPr>
      <w:r>
        <w:t>The problem</w:t>
      </w:r>
    </w:p>
    <w:p>
      <w:pPr>
        <w:pStyle w:val="ListNumber"/>
        <w:spacing w:after="40"/>
      </w:pPr>
      <w:r>
        <w:t>The museum environment</w:t>
      </w:r>
    </w:p>
    <w:p>
      <w:pPr>
        <w:pStyle w:val="ListNumber"/>
        <w:spacing w:after="40"/>
      </w:pPr>
      <w:r>
        <w:t>The technical and editorial solution</w:t>
      </w:r>
    </w:p>
    <w:p>
      <w:pPr>
        <w:pStyle w:val="ListNumber"/>
        <w:spacing w:after="40"/>
      </w:pPr>
      <w:r>
        <w:t>Implementation scope</w:t>
      </w:r>
    </w:p>
    <w:p>
      <w:pPr>
        <w:pStyle w:val="ListNumber"/>
        <w:spacing w:after="40"/>
      </w:pPr>
      <w:r>
        <w:t>Visitor adoption and engagement</w:t>
      </w:r>
    </w:p>
    <w:p>
      <w:pPr>
        <w:pStyle w:val="ListNumber"/>
        <w:spacing w:after="40"/>
      </w:pPr>
      <w:r>
        <w:t>Operational results</w:t>
      </w:r>
    </w:p>
    <w:p>
      <w:pPr>
        <w:pStyle w:val="ListNumber"/>
        <w:spacing w:after="40"/>
      </w:pPr>
      <w:r>
        <w:t>Museum team feedback</w:t>
      </w:r>
    </w:p>
    <w:p>
      <w:pPr>
        <w:pStyle w:val="ListNumber"/>
        <w:spacing w:after="40"/>
      </w:pPr>
      <w:r>
        <w:t>Lessons and next iteration</w:t>
      </w:r>
    </w:p>
    <w:p>
      <w:pPr>
        <w:pStyle w:val="Heading2"/>
        <w:keepNext/>
      </w:pPr>
      <w:r>
        <w:t>Recommended pilot KPIs</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376"/>
            <w:shd w:fill="17324D"/>
            <w:vAlign w:val="center"/>
            <w:tcMar>
              <w:top w:w="100" w:type="dxa"/>
              <w:start w:w="120" w:type="dxa"/>
              <w:bottom w:w="100" w:type="dxa"/>
              <w:end w:w="120" w:type="dxa"/>
            </w:tcMar>
          </w:tcPr>
          <w:p>
            <w:pPr>
              <w:jc w:val="center"/>
            </w:pPr>
            <w:r>
              <w:rPr>
                <w:b/>
                <w:color w:val="FFFFFF"/>
                <w:sz w:val="19"/>
              </w:rPr>
              <w:t>KPI</w:t>
            </w:r>
          </w:p>
        </w:tc>
        <w:tc>
          <w:tcPr>
            <w:tcW w:type="dxa" w:w="3384"/>
            <w:shd w:fill="17324D"/>
            <w:vAlign w:val="center"/>
            <w:tcMar>
              <w:top w:w="100" w:type="dxa"/>
              <w:start w:w="120" w:type="dxa"/>
              <w:bottom w:w="100" w:type="dxa"/>
              <w:end w:w="120" w:type="dxa"/>
            </w:tcMar>
          </w:tcPr>
          <w:p>
            <w:pPr>
              <w:jc w:val="center"/>
            </w:pPr>
            <w:r>
              <w:rPr>
                <w:b/>
                <w:color w:val="FFFFFF"/>
                <w:sz w:val="19"/>
              </w:rPr>
              <w:t>Meaning</w:t>
            </w:r>
          </w:p>
        </w:tc>
        <w:tc>
          <w:tcPr>
            <w:tcW w:type="dxa" w:w="4104"/>
            <w:shd w:fill="17324D"/>
            <w:vAlign w:val="center"/>
            <w:tcMar>
              <w:top w:w="100" w:type="dxa"/>
              <w:start w:w="120" w:type="dxa"/>
              <w:bottom w:w="100" w:type="dxa"/>
              <w:end w:w="120" w:type="dxa"/>
            </w:tcMar>
          </w:tcPr>
          <w:p>
            <w:pPr>
              <w:jc w:val="center"/>
            </w:pPr>
            <w:r>
              <w:rPr>
                <w:b/>
                <w:color w:val="FFFFFF"/>
                <w:sz w:val="19"/>
              </w:rPr>
              <w:t>Marketing value</w:t>
            </w:r>
          </w:p>
        </w:tc>
      </w:tr>
      <w:tr>
        <w:trPr>
          <w:cantSplit/>
        </w:trPr>
        <w:tc>
          <w:tcPr>
            <w:tcW w:type="dxa" w:w="2376"/>
            <w:vAlign w:val="center"/>
            <w:tcMar>
              <w:top w:w="100" w:type="dxa"/>
              <w:start w:w="120" w:type="dxa"/>
              <w:bottom w:w="100" w:type="dxa"/>
              <w:end w:w="120" w:type="dxa"/>
            </w:tcMar>
          </w:tcPr>
          <w:p>
            <w:pPr>
              <w:spacing w:after="0"/>
            </w:pPr>
            <w:r>
              <w:rPr>
                <w:sz w:val="18"/>
              </w:rPr>
              <w:t>Guide adoption rate</w:t>
            </w:r>
          </w:p>
        </w:tc>
        <w:tc>
          <w:tcPr>
            <w:tcW w:type="dxa" w:w="3384"/>
            <w:vAlign w:val="center"/>
            <w:tcMar>
              <w:top w:w="100" w:type="dxa"/>
              <w:start w:w="120" w:type="dxa"/>
              <w:bottom w:w="100" w:type="dxa"/>
              <w:end w:w="120" w:type="dxa"/>
            </w:tcMar>
          </w:tcPr>
          <w:p>
            <w:pPr>
              <w:spacing w:after="0"/>
            </w:pPr>
            <w:r>
              <w:rPr>
                <w:sz w:val="18"/>
              </w:rPr>
              <w:t>Guide sessions ÷ total museum visitors</w:t>
            </w:r>
          </w:p>
        </w:tc>
        <w:tc>
          <w:tcPr>
            <w:tcW w:type="dxa" w:w="4104"/>
            <w:vAlign w:val="center"/>
            <w:tcMar>
              <w:top w:w="100" w:type="dxa"/>
              <w:start w:w="120" w:type="dxa"/>
              <w:bottom w:w="100" w:type="dxa"/>
              <w:end w:w="120" w:type="dxa"/>
            </w:tcMar>
          </w:tcPr>
          <w:p>
            <w:pPr>
              <w:spacing w:after="0"/>
            </w:pPr>
            <w:r>
              <w:rPr>
                <w:sz w:val="18"/>
              </w:rPr>
              <w:t>Primary proof that visitors actually use the product</w:t>
            </w:r>
          </w:p>
        </w:tc>
      </w:tr>
      <w:tr>
        <w:trPr>
          <w:cantSplit/>
        </w:trPr>
        <w:tc>
          <w:tcPr>
            <w:tcW w:type="dxa" w:w="2376"/>
            <w:vAlign w:val="center"/>
            <w:tcMar>
              <w:top w:w="100" w:type="dxa"/>
              <w:start w:w="120" w:type="dxa"/>
              <w:bottom w:w="100" w:type="dxa"/>
              <w:end w:w="120" w:type="dxa"/>
            </w:tcMar>
          </w:tcPr>
          <w:p>
            <w:pPr>
              <w:spacing w:after="0"/>
            </w:pPr>
            <w:r>
              <w:rPr>
                <w:sz w:val="18"/>
              </w:rPr>
              <w:t>QR scan → guide open</w:t>
            </w:r>
          </w:p>
        </w:tc>
        <w:tc>
          <w:tcPr>
            <w:tcW w:type="dxa" w:w="3384"/>
            <w:vAlign w:val="center"/>
            <w:tcMar>
              <w:top w:w="100" w:type="dxa"/>
              <w:start w:w="120" w:type="dxa"/>
              <w:bottom w:w="100" w:type="dxa"/>
              <w:end w:w="120" w:type="dxa"/>
            </w:tcMar>
          </w:tcPr>
          <w:p>
            <w:pPr>
              <w:spacing w:after="0"/>
            </w:pPr>
            <w:r>
              <w:rPr>
                <w:sz w:val="18"/>
              </w:rPr>
              <w:t>Share of scans resulting in a usable session</w:t>
            </w:r>
          </w:p>
        </w:tc>
        <w:tc>
          <w:tcPr>
            <w:tcW w:type="dxa" w:w="4104"/>
            <w:vAlign w:val="center"/>
            <w:tcMar>
              <w:top w:w="100" w:type="dxa"/>
              <w:start w:w="120" w:type="dxa"/>
              <w:bottom w:w="100" w:type="dxa"/>
              <w:end w:w="120" w:type="dxa"/>
            </w:tcMar>
          </w:tcPr>
          <w:p>
            <w:pPr>
              <w:spacing w:after="0"/>
            </w:pPr>
            <w:r>
              <w:rPr>
                <w:sz w:val="18"/>
              </w:rPr>
              <w:t>Tests onboarding and signage</w:t>
            </w:r>
          </w:p>
        </w:tc>
      </w:tr>
      <w:tr>
        <w:trPr>
          <w:cantSplit/>
        </w:trPr>
        <w:tc>
          <w:tcPr>
            <w:tcW w:type="dxa" w:w="2376"/>
            <w:vAlign w:val="center"/>
            <w:tcMar>
              <w:top w:w="100" w:type="dxa"/>
              <w:start w:w="120" w:type="dxa"/>
              <w:bottom w:w="100" w:type="dxa"/>
              <w:end w:w="120" w:type="dxa"/>
            </w:tcMar>
          </w:tcPr>
          <w:p>
            <w:pPr>
              <w:spacing w:after="0"/>
            </w:pPr>
            <w:r>
              <w:rPr>
                <w:sz w:val="18"/>
              </w:rPr>
              <w:t>Guide open → first audio play</w:t>
            </w:r>
          </w:p>
        </w:tc>
        <w:tc>
          <w:tcPr>
            <w:tcW w:type="dxa" w:w="3384"/>
            <w:vAlign w:val="center"/>
            <w:tcMar>
              <w:top w:w="100" w:type="dxa"/>
              <w:start w:w="120" w:type="dxa"/>
              <w:bottom w:w="100" w:type="dxa"/>
              <w:end w:w="120" w:type="dxa"/>
            </w:tcMar>
          </w:tcPr>
          <w:p>
            <w:pPr>
              <w:spacing w:after="0"/>
            </w:pPr>
            <w:r>
              <w:rPr>
                <w:sz w:val="18"/>
              </w:rPr>
              <w:t>Share reaching first meaningful interaction</w:t>
            </w:r>
          </w:p>
        </w:tc>
        <w:tc>
          <w:tcPr>
            <w:tcW w:type="dxa" w:w="4104"/>
            <w:vAlign w:val="center"/>
            <w:tcMar>
              <w:top w:w="100" w:type="dxa"/>
              <w:start w:w="120" w:type="dxa"/>
              <w:bottom w:w="100" w:type="dxa"/>
              <w:end w:w="120" w:type="dxa"/>
            </w:tcMar>
          </w:tcPr>
          <w:p>
            <w:pPr>
              <w:spacing w:after="0"/>
            </w:pPr>
            <w:r>
              <w:rPr>
                <w:sz w:val="18"/>
              </w:rPr>
              <w:t>Measures first-minute UX</w:t>
            </w:r>
          </w:p>
        </w:tc>
      </w:tr>
      <w:tr>
        <w:trPr>
          <w:cantSplit/>
        </w:trPr>
        <w:tc>
          <w:tcPr>
            <w:tcW w:type="dxa" w:w="2376"/>
            <w:vAlign w:val="center"/>
            <w:tcMar>
              <w:top w:w="100" w:type="dxa"/>
              <w:start w:w="120" w:type="dxa"/>
              <w:bottom w:w="100" w:type="dxa"/>
              <w:end w:w="120" w:type="dxa"/>
            </w:tcMar>
          </w:tcPr>
          <w:p>
            <w:pPr>
              <w:spacing w:after="0"/>
            </w:pPr>
            <w:r>
              <w:rPr>
                <w:sz w:val="18"/>
              </w:rPr>
              <w:t>Average session duration</w:t>
            </w:r>
          </w:p>
        </w:tc>
        <w:tc>
          <w:tcPr>
            <w:tcW w:type="dxa" w:w="3384"/>
            <w:vAlign w:val="center"/>
            <w:tcMar>
              <w:top w:w="100" w:type="dxa"/>
              <w:start w:w="120" w:type="dxa"/>
              <w:bottom w:w="100" w:type="dxa"/>
              <w:end w:w="120" w:type="dxa"/>
            </w:tcMar>
          </w:tcPr>
          <w:p>
            <w:pPr>
              <w:spacing w:after="0"/>
            </w:pPr>
            <w:r>
              <w:rPr>
                <w:sz w:val="18"/>
              </w:rPr>
              <w:t>Time spent in the guide</w:t>
            </w:r>
          </w:p>
        </w:tc>
        <w:tc>
          <w:tcPr>
            <w:tcW w:type="dxa" w:w="4104"/>
            <w:vAlign w:val="center"/>
            <w:tcMar>
              <w:top w:w="100" w:type="dxa"/>
              <w:start w:w="120" w:type="dxa"/>
              <w:bottom w:w="100" w:type="dxa"/>
              <w:end w:w="120" w:type="dxa"/>
            </w:tcMar>
          </w:tcPr>
          <w:p>
            <w:pPr>
              <w:spacing w:after="0"/>
            </w:pPr>
            <w:r>
              <w:rPr>
                <w:sz w:val="18"/>
              </w:rPr>
              <w:t>Shows engagement depth</w:t>
            </w:r>
          </w:p>
        </w:tc>
      </w:tr>
      <w:tr>
        <w:trPr>
          <w:cantSplit/>
        </w:trPr>
        <w:tc>
          <w:tcPr>
            <w:tcW w:type="dxa" w:w="2376"/>
            <w:vAlign w:val="center"/>
            <w:tcMar>
              <w:top w:w="100" w:type="dxa"/>
              <w:start w:w="120" w:type="dxa"/>
              <w:bottom w:w="100" w:type="dxa"/>
              <w:end w:w="120" w:type="dxa"/>
            </w:tcMar>
          </w:tcPr>
          <w:p>
            <w:pPr>
              <w:spacing w:after="0"/>
            </w:pPr>
            <w:r>
              <w:rPr>
                <w:sz w:val="18"/>
              </w:rPr>
              <w:t>Audio completion rate</w:t>
            </w:r>
          </w:p>
        </w:tc>
        <w:tc>
          <w:tcPr>
            <w:tcW w:type="dxa" w:w="3384"/>
            <w:vAlign w:val="center"/>
            <w:tcMar>
              <w:top w:w="100" w:type="dxa"/>
              <w:start w:w="120" w:type="dxa"/>
              <w:bottom w:w="100" w:type="dxa"/>
              <w:end w:w="120" w:type="dxa"/>
            </w:tcMar>
          </w:tcPr>
          <w:p>
            <w:pPr>
              <w:spacing w:after="0"/>
            </w:pPr>
            <w:r>
              <w:rPr>
                <w:sz w:val="18"/>
              </w:rPr>
              <w:t>Share of started tracks substantially completed</w:t>
            </w:r>
          </w:p>
        </w:tc>
        <w:tc>
          <w:tcPr>
            <w:tcW w:type="dxa" w:w="4104"/>
            <w:vAlign w:val="center"/>
            <w:tcMar>
              <w:top w:w="100" w:type="dxa"/>
              <w:start w:w="120" w:type="dxa"/>
              <w:bottom w:w="100" w:type="dxa"/>
              <w:end w:w="120" w:type="dxa"/>
            </w:tcMar>
          </w:tcPr>
          <w:p>
            <w:pPr>
              <w:spacing w:after="0"/>
            </w:pPr>
            <w:r>
              <w:rPr>
                <w:sz w:val="18"/>
              </w:rPr>
              <w:t>Measures content effectiveness</w:t>
            </w:r>
          </w:p>
        </w:tc>
      </w:tr>
      <w:tr>
        <w:trPr>
          <w:cantSplit/>
        </w:trPr>
        <w:tc>
          <w:tcPr>
            <w:tcW w:type="dxa" w:w="2376"/>
            <w:vAlign w:val="center"/>
            <w:tcMar>
              <w:top w:w="100" w:type="dxa"/>
              <w:start w:w="120" w:type="dxa"/>
              <w:bottom w:w="100" w:type="dxa"/>
              <w:end w:w="120" w:type="dxa"/>
            </w:tcMar>
          </w:tcPr>
          <w:p>
            <w:pPr>
              <w:spacing w:after="0"/>
            </w:pPr>
            <w:r>
              <w:rPr>
                <w:sz w:val="18"/>
              </w:rPr>
              <w:t>Stops per session</w:t>
            </w:r>
          </w:p>
        </w:tc>
        <w:tc>
          <w:tcPr>
            <w:tcW w:type="dxa" w:w="3384"/>
            <w:vAlign w:val="center"/>
            <w:tcMar>
              <w:top w:w="100" w:type="dxa"/>
              <w:start w:w="120" w:type="dxa"/>
              <w:bottom w:w="100" w:type="dxa"/>
              <w:end w:w="120" w:type="dxa"/>
            </w:tcMar>
          </w:tcPr>
          <w:p>
            <w:pPr>
              <w:spacing w:after="0"/>
            </w:pPr>
            <w:r>
              <w:rPr>
                <w:sz w:val="18"/>
              </w:rPr>
              <w:t>Number of objects/spaces/stories visited</w:t>
            </w:r>
          </w:p>
        </w:tc>
        <w:tc>
          <w:tcPr>
            <w:tcW w:type="dxa" w:w="4104"/>
            <w:vAlign w:val="center"/>
            <w:tcMar>
              <w:top w:w="100" w:type="dxa"/>
              <w:start w:w="120" w:type="dxa"/>
              <w:bottom w:w="100" w:type="dxa"/>
              <w:end w:w="120" w:type="dxa"/>
            </w:tcMar>
          </w:tcPr>
          <w:p>
            <w:pPr>
              <w:spacing w:after="0"/>
            </w:pPr>
            <w:r>
              <w:rPr>
                <w:sz w:val="18"/>
              </w:rPr>
              <w:t>Shows guide depth</w:t>
            </w:r>
          </w:p>
        </w:tc>
      </w:tr>
      <w:tr>
        <w:trPr>
          <w:cantSplit/>
        </w:trPr>
        <w:tc>
          <w:tcPr>
            <w:tcW w:type="dxa" w:w="2376"/>
            <w:vAlign w:val="center"/>
            <w:tcMar>
              <w:top w:w="100" w:type="dxa"/>
              <w:start w:w="120" w:type="dxa"/>
              <w:bottom w:w="100" w:type="dxa"/>
              <w:end w:w="120" w:type="dxa"/>
            </w:tcMar>
          </w:tcPr>
          <w:p>
            <w:pPr>
              <w:spacing w:after="0"/>
            </w:pPr>
            <w:r>
              <w:rPr>
                <w:sz w:val="18"/>
              </w:rPr>
              <w:t>Tour start rate</w:t>
            </w:r>
          </w:p>
        </w:tc>
        <w:tc>
          <w:tcPr>
            <w:tcW w:type="dxa" w:w="3384"/>
            <w:vAlign w:val="center"/>
            <w:tcMar>
              <w:top w:w="100" w:type="dxa"/>
              <w:start w:w="120" w:type="dxa"/>
              <w:bottom w:w="100" w:type="dxa"/>
              <w:end w:w="120" w:type="dxa"/>
            </w:tcMar>
          </w:tcPr>
          <w:p>
            <w:pPr>
              <w:spacing w:after="0"/>
            </w:pPr>
            <w:r>
              <w:rPr>
                <w:sz w:val="18"/>
              </w:rPr>
              <w:t>Share of sessions starting a curated tour</w:t>
            </w:r>
          </w:p>
        </w:tc>
        <w:tc>
          <w:tcPr>
            <w:tcW w:type="dxa" w:w="4104"/>
            <w:vAlign w:val="center"/>
            <w:tcMar>
              <w:top w:w="100" w:type="dxa"/>
              <w:start w:w="120" w:type="dxa"/>
              <w:bottom w:w="100" w:type="dxa"/>
              <w:end w:w="120" w:type="dxa"/>
            </w:tcMar>
          </w:tcPr>
          <w:p>
            <w:pPr>
              <w:spacing w:after="0"/>
            </w:pPr>
            <w:r>
              <w:rPr>
                <w:sz w:val="18"/>
              </w:rPr>
              <w:t>Measures tour discoverability</w:t>
            </w:r>
          </w:p>
        </w:tc>
      </w:tr>
      <w:tr>
        <w:trPr>
          <w:cantSplit/>
        </w:trPr>
        <w:tc>
          <w:tcPr>
            <w:tcW w:type="dxa" w:w="2376"/>
            <w:vAlign w:val="center"/>
            <w:tcMar>
              <w:top w:w="100" w:type="dxa"/>
              <w:start w:w="120" w:type="dxa"/>
              <w:bottom w:w="100" w:type="dxa"/>
              <w:end w:w="120" w:type="dxa"/>
            </w:tcMar>
          </w:tcPr>
          <w:p>
            <w:pPr>
              <w:spacing w:after="0"/>
            </w:pPr>
            <w:r>
              <w:rPr>
                <w:sz w:val="18"/>
              </w:rPr>
              <w:t>Tour completion rate</w:t>
            </w:r>
          </w:p>
        </w:tc>
        <w:tc>
          <w:tcPr>
            <w:tcW w:type="dxa" w:w="3384"/>
            <w:vAlign w:val="center"/>
            <w:tcMar>
              <w:top w:w="100" w:type="dxa"/>
              <w:start w:w="120" w:type="dxa"/>
              <w:bottom w:w="100" w:type="dxa"/>
              <w:end w:w="120" w:type="dxa"/>
            </w:tcMar>
          </w:tcPr>
          <w:p>
            <w:pPr>
              <w:spacing w:after="0"/>
            </w:pPr>
            <w:r>
              <w:rPr>
                <w:sz w:val="18"/>
              </w:rPr>
              <w:t>Share completing a tour</w:t>
            </w:r>
          </w:p>
        </w:tc>
        <w:tc>
          <w:tcPr>
            <w:tcW w:type="dxa" w:w="4104"/>
            <w:vAlign w:val="center"/>
            <w:tcMar>
              <w:top w:w="100" w:type="dxa"/>
              <w:start w:w="120" w:type="dxa"/>
              <w:bottom w:w="100" w:type="dxa"/>
              <w:end w:w="120" w:type="dxa"/>
            </w:tcMar>
          </w:tcPr>
          <w:p>
            <w:pPr>
              <w:spacing w:after="0"/>
            </w:pPr>
            <w:r>
              <w:rPr>
                <w:sz w:val="18"/>
              </w:rPr>
              <w:t>Validates route/content design</w:t>
            </w:r>
          </w:p>
        </w:tc>
      </w:tr>
      <w:tr>
        <w:trPr>
          <w:cantSplit/>
        </w:trPr>
        <w:tc>
          <w:tcPr>
            <w:tcW w:type="dxa" w:w="2376"/>
            <w:vAlign w:val="center"/>
            <w:tcMar>
              <w:top w:w="100" w:type="dxa"/>
              <w:start w:w="120" w:type="dxa"/>
              <w:bottom w:w="100" w:type="dxa"/>
              <w:end w:w="120" w:type="dxa"/>
            </w:tcMar>
          </w:tcPr>
          <w:p>
            <w:pPr>
              <w:spacing w:after="0"/>
            </w:pPr>
            <w:r>
              <w:rPr>
                <w:sz w:val="18"/>
              </w:rPr>
              <w:t>Language mix</w:t>
            </w:r>
          </w:p>
        </w:tc>
        <w:tc>
          <w:tcPr>
            <w:tcW w:type="dxa" w:w="3384"/>
            <w:vAlign w:val="center"/>
            <w:tcMar>
              <w:top w:w="100" w:type="dxa"/>
              <w:start w:w="120" w:type="dxa"/>
              <w:bottom w:w="100" w:type="dxa"/>
              <w:end w:w="120" w:type="dxa"/>
            </w:tcMar>
          </w:tcPr>
          <w:p>
            <w:pPr>
              <w:spacing w:after="0"/>
            </w:pPr>
            <w:r>
              <w:rPr>
                <w:sz w:val="18"/>
              </w:rPr>
              <w:t>Usage by language</w:t>
            </w:r>
          </w:p>
        </w:tc>
        <w:tc>
          <w:tcPr>
            <w:tcW w:type="dxa" w:w="4104"/>
            <w:vAlign w:val="center"/>
            <w:tcMar>
              <w:top w:w="100" w:type="dxa"/>
              <w:start w:w="120" w:type="dxa"/>
              <w:bottom w:w="100" w:type="dxa"/>
              <w:end w:w="120" w:type="dxa"/>
            </w:tcMar>
          </w:tcPr>
          <w:p>
            <w:pPr>
              <w:spacing w:after="0"/>
            </w:pPr>
            <w:r>
              <w:rPr>
                <w:sz w:val="18"/>
              </w:rPr>
              <w:t>Demonstrates international relevance</w:t>
            </w:r>
          </w:p>
        </w:tc>
      </w:tr>
      <w:tr>
        <w:trPr>
          <w:cantSplit/>
        </w:trPr>
        <w:tc>
          <w:tcPr>
            <w:tcW w:type="dxa" w:w="2376"/>
            <w:vAlign w:val="center"/>
            <w:tcMar>
              <w:top w:w="100" w:type="dxa"/>
              <w:start w:w="120" w:type="dxa"/>
              <w:bottom w:w="100" w:type="dxa"/>
              <w:end w:w="120" w:type="dxa"/>
            </w:tcMar>
          </w:tcPr>
          <w:p>
            <w:pPr>
              <w:spacing w:after="0"/>
            </w:pPr>
            <w:r>
              <w:rPr>
                <w:sz w:val="18"/>
              </w:rPr>
              <w:t>Floor transitions</w:t>
            </w:r>
          </w:p>
        </w:tc>
        <w:tc>
          <w:tcPr>
            <w:tcW w:type="dxa" w:w="3384"/>
            <w:vAlign w:val="center"/>
            <w:tcMar>
              <w:top w:w="100" w:type="dxa"/>
              <w:start w:w="120" w:type="dxa"/>
              <w:bottom w:w="100" w:type="dxa"/>
              <w:end w:w="120" w:type="dxa"/>
            </w:tcMar>
          </w:tcPr>
          <w:p>
            <w:pPr>
              <w:spacing w:after="0"/>
            </w:pPr>
            <w:r>
              <w:rPr>
                <w:sz w:val="18"/>
              </w:rPr>
              <w:t>Movement between floors in the guide</w:t>
            </w:r>
          </w:p>
        </w:tc>
        <w:tc>
          <w:tcPr>
            <w:tcW w:type="dxa" w:w="4104"/>
            <w:vAlign w:val="center"/>
            <w:tcMar>
              <w:top w:w="100" w:type="dxa"/>
              <w:start w:w="120" w:type="dxa"/>
              <w:bottom w:w="100" w:type="dxa"/>
              <w:end w:w="120" w:type="dxa"/>
            </w:tcMar>
          </w:tcPr>
          <w:p>
            <w:pPr>
              <w:spacing w:after="0"/>
            </w:pPr>
            <w:r>
              <w:rPr>
                <w:sz w:val="18"/>
              </w:rPr>
              <w:t>Useful for multi-floor case studies</w:t>
            </w:r>
          </w:p>
        </w:tc>
      </w:tr>
      <w:tr>
        <w:trPr>
          <w:cantSplit/>
        </w:trPr>
        <w:tc>
          <w:tcPr>
            <w:tcW w:type="dxa" w:w="2376"/>
            <w:vAlign w:val="center"/>
            <w:tcMar>
              <w:top w:w="100" w:type="dxa"/>
              <w:start w:w="120" w:type="dxa"/>
              <w:bottom w:w="100" w:type="dxa"/>
              <w:end w:w="120" w:type="dxa"/>
            </w:tcMar>
          </w:tcPr>
          <w:p>
            <w:pPr>
              <w:spacing w:after="0"/>
            </w:pPr>
            <w:r>
              <w:rPr>
                <w:sz w:val="18"/>
              </w:rPr>
              <w:t>Top objects / stories</w:t>
            </w:r>
          </w:p>
        </w:tc>
        <w:tc>
          <w:tcPr>
            <w:tcW w:type="dxa" w:w="3384"/>
            <w:vAlign w:val="center"/>
            <w:tcMar>
              <w:top w:w="100" w:type="dxa"/>
              <w:start w:w="120" w:type="dxa"/>
              <w:bottom w:w="100" w:type="dxa"/>
              <w:end w:w="120" w:type="dxa"/>
            </w:tcMar>
          </w:tcPr>
          <w:p>
            <w:pPr>
              <w:spacing w:after="0"/>
            </w:pPr>
            <w:r>
              <w:rPr>
                <w:sz w:val="18"/>
              </w:rPr>
              <w:t>Highest engagement content</w:t>
            </w:r>
          </w:p>
        </w:tc>
        <w:tc>
          <w:tcPr>
            <w:tcW w:type="dxa" w:w="4104"/>
            <w:vAlign w:val="center"/>
            <w:tcMar>
              <w:top w:w="100" w:type="dxa"/>
              <w:start w:w="120" w:type="dxa"/>
              <w:bottom w:w="100" w:type="dxa"/>
              <w:end w:w="120" w:type="dxa"/>
            </w:tcMar>
          </w:tcPr>
          <w:p>
            <w:pPr>
              <w:spacing w:after="0"/>
            </w:pPr>
            <w:r>
              <w:rPr>
                <w:sz w:val="18"/>
              </w:rPr>
              <w:t>Useful to museum curators</w:t>
            </w:r>
          </w:p>
        </w:tc>
      </w:tr>
      <w:tr>
        <w:trPr>
          <w:cantSplit/>
        </w:trPr>
        <w:tc>
          <w:tcPr>
            <w:tcW w:type="dxa" w:w="2376"/>
            <w:vAlign w:val="center"/>
            <w:tcMar>
              <w:top w:w="100" w:type="dxa"/>
              <w:start w:w="120" w:type="dxa"/>
              <w:bottom w:w="100" w:type="dxa"/>
              <w:end w:w="120" w:type="dxa"/>
            </w:tcMar>
          </w:tcPr>
          <w:p>
            <w:pPr>
              <w:spacing w:after="0"/>
            </w:pPr>
            <w:r>
              <w:rPr>
                <w:sz w:val="18"/>
              </w:rPr>
              <w:t>Search failures</w:t>
            </w:r>
          </w:p>
        </w:tc>
        <w:tc>
          <w:tcPr>
            <w:tcW w:type="dxa" w:w="3384"/>
            <w:vAlign w:val="center"/>
            <w:tcMar>
              <w:top w:w="100" w:type="dxa"/>
              <w:start w:w="120" w:type="dxa"/>
              <w:bottom w:w="100" w:type="dxa"/>
              <w:end w:w="120" w:type="dxa"/>
            </w:tcMar>
          </w:tcPr>
          <w:p>
            <w:pPr>
              <w:spacing w:after="0"/>
            </w:pPr>
            <w:r>
              <w:rPr>
                <w:sz w:val="18"/>
              </w:rPr>
              <w:t>Number lookup/search failures</w:t>
            </w:r>
          </w:p>
        </w:tc>
        <w:tc>
          <w:tcPr>
            <w:tcW w:type="dxa" w:w="4104"/>
            <w:vAlign w:val="center"/>
            <w:tcMar>
              <w:top w:w="100" w:type="dxa"/>
              <w:start w:w="120" w:type="dxa"/>
              <w:bottom w:w="100" w:type="dxa"/>
              <w:end w:w="120" w:type="dxa"/>
            </w:tcMar>
          </w:tcPr>
          <w:p>
            <w:pPr>
              <w:spacing w:after="0"/>
            </w:pPr>
            <w:r>
              <w:rPr>
                <w:sz w:val="18"/>
              </w:rPr>
              <w:t>Direct product-improvement signal</w:t>
            </w:r>
          </w:p>
        </w:tc>
      </w:tr>
      <w:tr>
        <w:trPr>
          <w:cantSplit/>
        </w:trPr>
        <w:tc>
          <w:tcPr>
            <w:tcW w:type="dxa" w:w="2376"/>
            <w:vAlign w:val="center"/>
            <w:tcMar>
              <w:top w:w="100" w:type="dxa"/>
              <w:start w:w="120" w:type="dxa"/>
              <w:bottom w:w="100" w:type="dxa"/>
              <w:end w:w="120" w:type="dxa"/>
            </w:tcMar>
          </w:tcPr>
          <w:p>
            <w:pPr>
              <w:spacing w:after="0"/>
            </w:pPr>
            <w:r>
              <w:rPr>
                <w:sz w:val="18"/>
              </w:rPr>
              <w:t>Saved objects</w:t>
            </w:r>
          </w:p>
        </w:tc>
        <w:tc>
          <w:tcPr>
            <w:tcW w:type="dxa" w:w="3384"/>
            <w:vAlign w:val="center"/>
            <w:tcMar>
              <w:top w:w="100" w:type="dxa"/>
              <w:start w:w="120" w:type="dxa"/>
              <w:bottom w:w="100" w:type="dxa"/>
              <w:end w:w="120" w:type="dxa"/>
            </w:tcMar>
          </w:tcPr>
          <w:p>
            <w:pPr>
              <w:spacing w:after="0"/>
            </w:pPr>
            <w:r>
              <w:rPr>
                <w:sz w:val="18"/>
              </w:rPr>
              <w:t>Use of favourites</w:t>
            </w:r>
          </w:p>
        </w:tc>
        <w:tc>
          <w:tcPr>
            <w:tcW w:type="dxa" w:w="4104"/>
            <w:vAlign w:val="center"/>
            <w:tcMar>
              <w:top w:w="100" w:type="dxa"/>
              <w:start w:w="120" w:type="dxa"/>
              <w:bottom w:w="100" w:type="dxa"/>
              <w:end w:w="120" w:type="dxa"/>
            </w:tcMar>
          </w:tcPr>
          <w:p>
            <w:pPr>
              <w:spacing w:after="0"/>
            </w:pPr>
            <w:r>
              <w:rPr>
                <w:sz w:val="18"/>
              </w:rPr>
              <w:t>Shows intent and personalisation behaviour</w:t>
            </w:r>
          </w:p>
        </w:tc>
      </w:tr>
    </w:tbl>
    <w:tbl>
      <w:tblPr>
        <w:tblW w:type="auto" w:w="0"/>
        <w:jc w:val="center"/>
        <w:tblLook w:firstColumn="1" w:firstRow="1" w:lastColumn="0" w:lastRow="0" w:noHBand="0" w:noVBand="1" w:val="04A0"/>
      </w:tblPr>
      <w:tblGrid>
        <w:gridCol w:w="10080"/>
      </w:tblGrid>
      <w:tr>
        <w:tc>
          <w:tcPr>
            <w:tcW w:type="dxa" w:w="10080"/>
            <w:shd w:fill="EAF3F3"/>
            <w:tcMar>
              <w:top w:w="120" w:type="dxa"/>
              <w:start w:w="180" w:type="dxa"/>
              <w:bottom w:w="120" w:type="dxa"/>
              <w:end w:w="180" w:type="dxa"/>
            </w:tcMar>
          </w:tcPr>
          <w:p>
            <w:pPr>
              <w:spacing w:after="80"/>
            </w:pPr>
            <w:r>
              <w:rPr>
                <w:b/>
                <w:color w:val="1E6F74"/>
                <w:sz w:val="22"/>
              </w:rPr>
              <w:t>Best proof metric</w:t>
            </w:r>
          </w:p>
          <w:p>
            <w:pPr>
              <w:spacing w:after="0" w:line="264" w:lineRule="auto"/>
            </w:pPr>
            <w:r>
              <w:t>Where the museum can provide reliable entrance counts, adoption rate should be the headline KPI: total guide sessions as a percentage of total museum visitors over the same period.</w:t>
            </w:r>
          </w:p>
        </w:tc>
      </w:tr>
    </w:tbl>
    <w:p>
      <w:pPr>
        <w:spacing w:after="0"/>
      </w:pPr>
    </w:p>
    <w:p>
      <w:pPr>
        <w:spacing w:after="40"/>
      </w:pPr>
      <w:r>
        <w:rPr>
          <w:b/>
          <w:color w:val="B7893B"/>
          <w:sz w:val="17"/>
        </w:rPr>
        <w:t>05</w:t>
      </w:r>
    </w:p>
    <w:p>
      <w:pPr>
        <w:pStyle w:val="Heading1"/>
        <w:keepNext/>
      </w:pPr>
      <w:r>
        <w:t>Positioning and messaging</w:t>
      </w:r>
    </w:p>
    <w:p>
      <w:r>
        <w:t>The product should not lead with the category “audio guide”. That category tends to push the buyer toward low-cost SaaS comparisons, rental devices and generic tour platforms. MAG should lead with infrastructure, ownership and integration.</w:t>
      </w:r>
    </w:p>
    <w:p>
      <w:pPr>
        <w:pStyle w:val="Heading2"/>
        <w:keepNext/>
      </w:pPr>
      <w:r>
        <w:t>Recommended category</w:t>
      </w:r>
    </w:p>
    <w:p>
      <w:r>
        <w:rPr>
          <w:b/>
          <w:color w:val="1E6F74"/>
          <w:sz w:val="32"/>
        </w:rPr>
        <w:t>MAG – Digital Visitor Platform for Museums</w:t>
      </w:r>
    </w:p>
    <w:p>
      <w:pPr>
        <w:pStyle w:val="Heading2"/>
        <w:keepNext/>
      </w:pPr>
      <w:r>
        <w:t>Core positioning pillars</w:t>
      </w:r>
    </w:p>
    <w:p>
      <w:r>
        <w:rPr>
          <w:b/>
        </w:rPr>
        <w:t xml:space="preserve">Museum-owned: </w:t>
      </w:r>
      <w:r>
        <w:t>The deployment can live on the museum’s infrastructure, domain and analytics stack.</w:t>
      </w:r>
    </w:p>
    <w:p>
      <w:r>
        <w:rPr>
          <w:b/>
        </w:rPr>
        <w:t xml:space="preserve">Collection-connected: </w:t>
      </w:r>
      <w:r>
        <w:t>Existing museum data remains the source of truth; MAG does not require a second manual collection database.</w:t>
      </w:r>
    </w:p>
    <w:p>
      <w:r>
        <w:rPr>
          <w:b/>
        </w:rPr>
        <w:t xml:space="preserve">Bespoke enterprise: </w:t>
      </w:r>
      <w:r>
        <w:t>The platform can adapt to the museum’s structure, workflows, languages and integrations.</w:t>
      </w:r>
    </w:p>
    <w:p>
      <w:r>
        <w:rPr>
          <w:b/>
        </w:rPr>
        <w:t xml:space="preserve">Open architecture: </w:t>
      </w:r>
      <w:r>
        <w:t>REST, adapters and exportability reduce lock-in and make integration possible.</w:t>
      </w:r>
    </w:p>
    <w:p>
      <w:r>
        <w:rPr>
          <w:b/>
        </w:rPr>
        <w:t xml:space="preserve">Privacy-conscious: </w:t>
      </w:r>
      <w:r>
        <w:t>Precise visitor location is not required to be sent to the server for proximity features.</w:t>
      </w:r>
    </w:p>
    <w:p>
      <w:r>
        <w:rPr>
          <w:b/>
        </w:rPr>
        <w:t xml:space="preserve">Premium service: </w:t>
      </w:r>
      <w:r>
        <w:t>The offer includes discovery, implementation, migration, QA, training, support and SLA—not only software access.</w:t>
      </w:r>
    </w:p>
    <w:p>
      <w:pPr>
        <w:pStyle w:val="Heading2"/>
        <w:keepNext/>
      </w:pPr>
      <w:r>
        <w:t>Primary messages</w:t>
      </w:r>
    </w:p>
    <w:p>
      <w:pPr>
        <w:ind w:left="360"/>
      </w:pPr>
      <w:r>
        <w:rPr>
          <w:i/>
          <w:color w:val="17324D"/>
        </w:rPr>
        <w:t>“Turn your museum collection into a visitor experience — without building another content silo.”</w:t>
      </w:r>
    </w:p>
    <w:p>
      <w:pPr>
        <w:ind w:left="360"/>
      </w:pPr>
      <w:r>
        <w:rPr>
          <w:i/>
          <w:color w:val="17324D"/>
        </w:rPr>
        <w:t>“MAG connects your existing museum systems, content and collections to a multilingual digital visitor platform.”</w:t>
      </w:r>
    </w:p>
    <w:p>
      <w:pPr>
        <w:ind w:left="360"/>
      </w:pPr>
      <w:r>
        <w:rPr>
          <w:i/>
          <w:color w:val="17324D"/>
        </w:rPr>
        <w:t>“Your infrastructure. Your data. Your brand.”</w:t>
      </w:r>
    </w:p>
    <w:p>
      <w:pPr>
        <w:ind w:left="360"/>
      </w:pPr>
      <w:r>
        <w:rPr>
          <w:i/>
          <w:color w:val="17324D"/>
        </w:rPr>
        <w:t>“From collection record to visitor story.”</w:t>
      </w:r>
    </w:p>
    <w:p>
      <w:pPr>
        <w:ind w:left="360"/>
      </w:pPr>
      <w:r>
        <w:rPr>
          <w:i/>
          <w:color w:val="17324D"/>
        </w:rPr>
        <w:t>“No duplicate museum database.”</w:t>
      </w:r>
    </w:p>
    <w:p>
      <w:pPr>
        <w:spacing w:after="40"/>
      </w:pPr>
      <w:r>
        <w:rPr>
          <w:b/>
          <w:color w:val="B7893B"/>
          <w:sz w:val="17"/>
        </w:rPr>
        <w:t>06</w:t>
      </w:r>
    </w:p>
    <w:p>
      <w:pPr>
        <w:pStyle w:val="Heading1"/>
        <w:keepNext/>
      </w:pPr>
      <w:r>
        <w:t>Buyer committee and stakeholder marketing</w:t>
      </w:r>
    </w:p>
    <w:p>
      <w:r>
        <w:t>A large museum rarely buys a visitor platform through a single decision maker. Marketing should therefore address the buying committee explicitly.</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304"/>
            <w:shd w:fill="17324D"/>
            <w:vAlign w:val="center"/>
            <w:tcMar>
              <w:top w:w="100" w:type="dxa"/>
              <w:start w:w="120" w:type="dxa"/>
              <w:bottom w:w="100" w:type="dxa"/>
              <w:end w:w="120" w:type="dxa"/>
            </w:tcMar>
          </w:tcPr>
          <w:p>
            <w:pPr>
              <w:jc w:val="center"/>
            </w:pPr>
            <w:r>
              <w:rPr>
                <w:b/>
                <w:color w:val="FFFFFF"/>
                <w:sz w:val="19"/>
              </w:rPr>
              <w:t>Stakeholder</w:t>
            </w:r>
          </w:p>
        </w:tc>
        <w:tc>
          <w:tcPr>
            <w:tcW w:type="dxa" w:w="3600"/>
            <w:shd w:fill="17324D"/>
            <w:vAlign w:val="center"/>
            <w:tcMar>
              <w:top w:w="100" w:type="dxa"/>
              <w:start w:w="120" w:type="dxa"/>
              <w:bottom w:w="100" w:type="dxa"/>
              <w:end w:w="120" w:type="dxa"/>
            </w:tcMar>
          </w:tcPr>
          <w:p>
            <w:pPr>
              <w:jc w:val="center"/>
            </w:pPr>
            <w:r>
              <w:rPr>
                <w:b/>
                <w:color w:val="FFFFFF"/>
                <w:sz w:val="19"/>
              </w:rPr>
              <w:t>Primary concerns</w:t>
            </w:r>
          </w:p>
        </w:tc>
        <w:tc>
          <w:tcPr>
            <w:tcW w:type="dxa" w:w="3960"/>
            <w:shd w:fill="17324D"/>
            <w:vAlign w:val="center"/>
            <w:tcMar>
              <w:top w:w="100" w:type="dxa"/>
              <w:start w:w="120" w:type="dxa"/>
              <w:bottom w:w="100" w:type="dxa"/>
              <w:end w:w="120" w:type="dxa"/>
            </w:tcMar>
          </w:tcPr>
          <w:p>
            <w:pPr>
              <w:jc w:val="center"/>
            </w:pPr>
            <w:r>
              <w:rPr>
                <w:b/>
                <w:color w:val="FFFFFF"/>
                <w:sz w:val="19"/>
              </w:rPr>
              <w:t>Content / proof they need</w:t>
            </w:r>
          </w:p>
        </w:tc>
      </w:tr>
      <w:tr>
        <w:trPr>
          <w:cantSplit/>
        </w:trPr>
        <w:tc>
          <w:tcPr>
            <w:tcW w:type="dxa" w:w="2304"/>
            <w:vAlign w:val="center"/>
            <w:tcMar>
              <w:top w:w="100" w:type="dxa"/>
              <w:start w:w="120" w:type="dxa"/>
              <w:bottom w:w="100" w:type="dxa"/>
              <w:end w:w="120" w:type="dxa"/>
            </w:tcMar>
          </w:tcPr>
          <w:p>
            <w:pPr>
              <w:spacing w:after="0"/>
            </w:pPr>
            <w:r>
              <w:rPr>
                <w:sz w:val="18"/>
              </w:rPr>
              <w:t>Museum director</w:t>
            </w:r>
          </w:p>
        </w:tc>
        <w:tc>
          <w:tcPr>
            <w:tcW w:type="dxa" w:w="3600"/>
            <w:vAlign w:val="center"/>
            <w:tcMar>
              <w:top w:w="100" w:type="dxa"/>
              <w:start w:w="120" w:type="dxa"/>
              <w:bottom w:w="100" w:type="dxa"/>
              <w:end w:w="120" w:type="dxa"/>
            </w:tcMar>
          </w:tcPr>
          <w:p>
            <w:pPr>
              <w:spacing w:after="0"/>
            </w:pPr>
            <w:r>
              <w:rPr>
                <w:sz w:val="18"/>
              </w:rPr>
              <w:t>Modernisation, reputation, visitor impact, institutional control</w:t>
            </w:r>
          </w:p>
        </w:tc>
        <w:tc>
          <w:tcPr>
            <w:tcW w:type="dxa" w:w="3960"/>
            <w:vAlign w:val="center"/>
            <w:tcMar>
              <w:top w:w="100" w:type="dxa"/>
              <w:start w:w="120" w:type="dxa"/>
              <w:bottom w:w="100" w:type="dxa"/>
              <w:end w:w="120" w:type="dxa"/>
            </w:tcMar>
          </w:tcPr>
          <w:p>
            <w:pPr>
              <w:spacing w:after="0"/>
            </w:pPr>
            <w:r>
              <w:rPr>
                <w:sz w:val="18"/>
              </w:rPr>
              <w:t>Case studies, outcomes, reference institutions, ROI narrative</w:t>
            </w:r>
          </w:p>
        </w:tc>
      </w:tr>
      <w:tr>
        <w:trPr>
          <w:cantSplit/>
        </w:trPr>
        <w:tc>
          <w:tcPr>
            <w:tcW w:type="dxa" w:w="2304"/>
            <w:vAlign w:val="center"/>
            <w:tcMar>
              <w:top w:w="100" w:type="dxa"/>
              <w:start w:w="120" w:type="dxa"/>
              <w:bottom w:w="100" w:type="dxa"/>
              <w:end w:w="120" w:type="dxa"/>
            </w:tcMar>
          </w:tcPr>
          <w:p>
            <w:pPr>
              <w:spacing w:after="0"/>
            </w:pPr>
            <w:r>
              <w:rPr>
                <w:sz w:val="18"/>
              </w:rPr>
              <w:t>Digital / IT lead</w:t>
            </w:r>
          </w:p>
        </w:tc>
        <w:tc>
          <w:tcPr>
            <w:tcW w:type="dxa" w:w="3600"/>
            <w:vAlign w:val="center"/>
            <w:tcMar>
              <w:top w:w="100" w:type="dxa"/>
              <w:start w:w="120" w:type="dxa"/>
              <w:bottom w:w="100" w:type="dxa"/>
              <w:end w:w="120" w:type="dxa"/>
            </w:tcMar>
          </w:tcPr>
          <w:p>
            <w:pPr>
              <w:spacing w:after="0"/>
            </w:pPr>
            <w:r>
              <w:rPr>
                <w:sz w:val="18"/>
              </w:rPr>
              <w:t>API, security, hosting, GDPR, lock-in, uptime, support</w:t>
            </w:r>
          </w:p>
        </w:tc>
        <w:tc>
          <w:tcPr>
            <w:tcW w:type="dxa" w:w="3960"/>
            <w:vAlign w:val="center"/>
            <w:tcMar>
              <w:top w:w="100" w:type="dxa"/>
              <w:start w:w="120" w:type="dxa"/>
              <w:bottom w:w="100" w:type="dxa"/>
              <w:end w:w="120" w:type="dxa"/>
            </w:tcMar>
          </w:tcPr>
          <w:p>
            <w:pPr>
              <w:spacing w:after="0"/>
            </w:pPr>
            <w:r>
              <w:rPr>
                <w:sz w:val="18"/>
              </w:rPr>
              <w:t>Architecture, security overview, hosting models, SLA, API docs</w:t>
            </w:r>
          </w:p>
        </w:tc>
      </w:tr>
      <w:tr>
        <w:trPr>
          <w:cantSplit/>
        </w:trPr>
        <w:tc>
          <w:tcPr>
            <w:tcW w:type="dxa" w:w="2304"/>
            <w:vAlign w:val="center"/>
            <w:tcMar>
              <w:top w:w="100" w:type="dxa"/>
              <w:start w:w="120" w:type="dxa"/>
              <w:bottom w:w="100" w:type="dxa"/>
              <w:end w:w="120" w:type="dxa"/>
            </w:tcMar>
          </w:tcPr>
          <w:p>
            <w:pPr>
              <w:spacing w:after="0"/>
            </w:pPr>
            <w:r>
              <w:rPr>
                <w:sz w:val="18"/>
              </w:rPr>
              <w:t>Curatorial team</w:t>
            </w:r>
          </w:p>
        </w:tc>
        <w:tc>
          <w:tcPr>
            <w:tcW w:type="dxa" w:w="3600"/>
            <w:vAlign w:val="center"/>
            <w:tcMar>
              <w:top w:w="100" w:type="dxa"/>
              <w:start w:w="120" w:type="dxa"/>
              <w:bottom w:w="100" w:type="dxa"/>
              <w:end w:w="120" w:type="dxa"/>
            </w:tcMar>
          </w:tcPr>
          <w:p>
            <w:pPr>
              <w:spacing w:after="0"/>
            </w:pPr>
            <w:r>
              <w:rPr>
                <w:sz w:val="18"/>
              </w:rPr>
              <w:t>Ease of publishing, accuracy, translations, reuse of collection data</w:t>
            </w:r>
          </w:p>
        </w:tc>
        <w:tc>
          <w:tcPr>
            <w:tcW w:type="dxa" w:w="3960"/>
            <w:vAlign w:val="center"/>
            <w:tcMar>
              <w:top w:w="100" w:type="dxa"/>
              <w:start w:w="120" w:type="dxa"/>
              <w:bottom w:w="100" w:type="dxa"/>
              <w:end w:w="120" w:type="dxa"/>
            </w:tcMar>
          </w:tcPr>
          <w:p>
            <w:pPr>
              <w:spacing w:after="0"/>
            </w:pPr>
            <w:r>
              <w:rPr>
                <w:sz w:val="18"/>
              </w:rPr>
              <w:t>CMS workflow demo, content model, readiness checks</w:t>
            </w:r>
          </w:p>
        </w:tc>
      </w:tr>
      <w:tr>
        <w:trPr>
          <w:cantSplit/>
        </w:trPr>
        <w:tc>
          <w:tcPr>
            <w:tcW w:type="dxa" w:w="2304"/>
            <w:vAlign w:val="center"/>
            <w:tcMar>
              <w:top w:w="100" w:type="dxa"/>
              <w:start w:w="120" w:type="dxa"/>
              <w:bottom w:w="100" w:type="dxa"/>
              <w:end w:w="120" w:type="dxa"/>
            </w:tcMar>
          </w:tcPr>
          <w:p>
            <w:pPr>
              <w:spacing w:after="0"/>
            </w:pPr>
            <w:r>
              <w:rPr>
                <w:sz w:val="18"/>
              </w:rPr>
              <w:t>Visitor Experience / Education</w:t>
            </w:r>
          </w:p>
        </w:tc>
        <w:tc>
          <w:tcPr>
            <w:tcW w:type="dxa" w:w="3600"/>
            <w:vAlign w:val="center"/>
            <w:tcMar>
              <w:top w:w="100" w:type="dxa"/>
              <w:start w:w="120" w:type="dxa"/>
              <w:bottom w:w="100" w:type="dxa"/>
              <w:end w:w="120" w:type="dxa"/>
            </w:tcMar>
          </w:tcPr>
          <w:p>
            <w:pPr>
              <w:spacing w:after="0"/>
            </w:pPr>
            <w:r>
              <w:rPr>
                <w:sz w:val="18"/>
              </w:rPr>
              <w:t>Accessibility, family tours, engagement, navigation</w:t>
            </w:r>
          </w:p>
        </w:tc>
        <w:tc>
          <w:tcPr>
            <w:tcW w:type="dxa" w:w="3960"/>
            <w:vAlign w:val="center"/>
            <w:tcMar>
              <w:top w:w="100" w:type="dxa"/>
              <w:start w:w="120" w:type="dxa"/>
              <w:bottom w:w="100" w:type="dxa"/>
              <w:end w:w="120" w:type="dxa"/>
            </w:tcMar>
          </w:tcPr>
          <w:p>
            <w:pPr>
              <w:spacing w:after="0"/>
            </w:pPr>
            <w:r>
              <w:rPr>
                <w:sz w:val="18"/>
              </w:rPr>
              <w:t>Visitor UX demo, accessibility, maps, analytics</w:t>
            </w:r>
          </w:p>
        </w:tc>
      </w:tr>
      <w:tr>
        <w:trPr>
          <w:cantSplit/>
        </w:trPr>
        <w:tc>
          <w:tcPr>
            <w:tcW w:type="dxa" w:w="2304"/>
            <w:vAlign w:val="center"/>
            <w:tcMar>
              <w:top w:w="100" w:type="dxa"/>
              <w:start w:w="120" w:type="dxa"/>
              <w:bottom w:w="100" w:type="dxa"/>
              <w:end w:w="120" w:type="dxa"/>
            </w:tcMar>
          </w:tcPr>
          <w:p>
            <w:pPr>
              <w:spacing w:after="0"/>
            </w:pPr>
            <w:r>
              <w:rPr>
                <w:sz w:val="18"/>
              </w:rPr>
              <w:t>Procurement / administration</w:t>
            </w:r>
          </w:p>
        </w:tc>
        <w:tc>
          <w:tcPr>
            <w:tcW w:type="dxa" w:w="3600"/>
            <w:vAlign w:val="center"/>
            <w:tcMar>
              <w:top w:w="100" w:type="dxa"/>
              <w:start w:w="120" w:type="dxa"/>
              <w:bottom w:w="100" w:type="dxa"/>
              <w:end w:w="120" w:type="dxa"/>
            </w:tcMar>
          </w:tcPr>
          <w:p>
            <w:pPr>
              <w:spacing w:after="0"/>
            </w:pPr>
            <w:r>
              <w:rPr>
                <w:sz w:val="18"/>
              </w:rPr>
              <w:t>Scope, cost, support, warranties, deliverables</w:t>
            </w:r>
          </w:p>
        </w:tc>
        <w:tc>
          <w:tcPr>
            <w:tcW w:type="dxa" w:w="3960"/>
            <w:vAlign w:val="center"/>
            <w:tcMar>
              <w:top w:w="100" w:type="dxa"/>
              <w:start w:w="120" w:type="dxa"/>
              <w:bottom w:w="100" w:type="dxa"/>
              <w:end w:w="120" w:type="dxa"/>
            </w:tcMar>
          </w:tcPr>
          <w:p>
            <w:pPr>
              <w:spacing w:after="0"/>
            </w:pPr>
            <w:r>
              <w:rPr>
                <w:sz w:val="18"/>
              </w:rPr>
              <w:t>Technical specification, implementation plan, contract model, references</w:t>
            </w:r>
          </w:p>
        </w:tc>
      </w:tr>
    </w:tbl>
    <w:p>
      <w:pPr>
        <w:spacing w:after="40"/>
      </w:pPr>
      <w:r>
        <w:rPr>
          <w:b/>
          <w:color w:val="B7893B"/>
          <w:sz w:val="17"/>
        </w:rPr>
        <w:t>07</w:t>
      </w:r>
    </w:p>
    <w:p>
      <w:pPr>
        <w:pStyle w:val="Heading1"/>
        <w:keepNext/>
      </w:pPr>
      <w:r>
        <w:t>Website and demo strategy</w:t>
      </w:r>
    </w:p>
    <w:p>
      <w:r>
        <w:t>The website should function as an enterprise sales environment, not as a generic SaaS landing page. Visitors should be able to understand the architecture, see the visitor experience and verify institutional credibility before booking a call.</w:t>
      </w:r>
    </w:p>
    <w:p>
      <w:pPr>
        <w:pStyle w:val="Heading2"/>
        <w:keepNext/>
      </w:pPr>
      <w:r>
        <w:t>Recommended information architecture</w:t>
      </w:r>
    </w:p>
    <w:p>
      <w:pPr>
        <w:pStyle w:val="ListBullet"/>
        <w:spacing w:after="40"/>
      </w:pPr>
      <w:r>
        <w:t>Home</w:t>
      </w:r>
    </w:p>
    <w:p>
      <w:pPr>
        <w:pStyle w:val="ListBullet"/>
        <w:spacing w:after="40"/>
      </w:pPr>
      <w:r>
        <w:t>Platform</w:t>
      </w:r>
    </w:p>
    <w:p>
      <w:pPr>
        <w:pStyle w:val="ListBullet"/>
        <w:spacing w:after="40"/>
      </w:pPr>
      <w:r>
        <w:t>For Museum Directors</w:t>
      </w:r>
    </w:p>
    <w:p>
      <w:pPr>
        <w:pStyle w:val="ListBullet"/>
        <w:spacing w:after="40"/>
      </w:pPr>
      <w:r>
        <w:t>For Digital &amp; IT Teams</w:t>
      </w:r>
    </w:p>
    <w:p>
      <w:pPr>
        <w:pStyle w:val="ListBullet"/>
        <w:spacing w:after="40"/>
      </w:pPr>
      <w:r>
        <w:t>For Curators</w:t>
      </w:r>
    </w:p>
    <w:p>
      <w:pPr>
        <w:pStyle w:val="ListBullet"/>
        <w:spacing w:after="40"/>
      </w:pPr>
      <w:r>
        <w:t>For Visitor Experience Teams</w:t>
      </w:r>
    </w:p>
    <w:p>
      <w:pPr>
        <w:pStyle w:val="ListBullet"/>
        <w:spacing w:after="40"/>
      </w:pPr>
      <w:r>
        <w:t>Integrations</w:t>
      </w:r>
    </w:p>
    <w:p>
      <w:pPr>
        <w:pStyle w:val="ListBullet"/>
        <w:spacing w:after="40"/>
      </w:pPr>
      <w:r>
        <w:t>Accessibility</w:t>
      </w:r>
    </w:p>
    <w:p>
      <w:pPr>
        <w:pStyle w:val="ListBullet"/>
        <w:spacing w:after="40"/>
      </w:pPr>
      <w:r>
        <w:t>Security &amp; Privacy</w:t>
      </w:r>
    </w:p>
    <w:p>
      <w:pPr>
        <w:pStyle w:val="ListBullet"/>
        <w:spacing w:after="40"/>
      </w:pPr>
      <w:r>
        <w:t>Case Studies</w:t>
      </w:r>
    </w:p>
    <w:p>
      <w:pPr>
        <w:pStyle w:val="ListBullet"/>
        <w:spacing w:after="40"/>
      </w:pPr>
      <w:r>
        <w:t>Demo Museum</w:t>
      </w:r>
    </w:p>
    <w:p>
      <w:pPr>
        <w:pStyle w:val="ListBullet"/>
        <w:spacing w:after="40"/>
      </w:pPr>
      <w:r>
        <w:t>Procurement &amp; IT</w:t>
      </w:r>
    </w:p>
    <w:p>
      <w:pPr>
        <w:pStyle w:val="ListBullet"/>
        <w:spacing w:after="40"/>
      </w:pPr>
      <w:r>
        <w:t>Pricing / Engagement Models</w:t>
      </w:r>
    </w:p>
    <w:p>
      <w:pPr>
        <w:pStyle w:val="ListBullet"/>
        <w:spacing w:after="40"/>
      </w:pPr>
      <w:r>
        <w:t>Resources</w:t>
      </w:r>
    </w:p>
    <w:p>
      <w:pPr>
        <w:pStyle w:val="ListBullet"/>
        <w:spacing w:after="40"/>
      </w:pPr>
      <w:r>
        <w:t>Book a Demo</w:t>
      </w:r>
    </w:p>
    <w:p>
      <w:pPr>
        <w:pStyle w:val="Heading2"/>
        <w:keepNext/>
      </w:pPr>
      <w:r>
        <w:t>Demo Museum</w:t>
      </w:r>
    </w:p>
    <w:p>
      <w:r>
        <w:t>A live demo museum should contain enough complexity to communicate the platform within 60 seconds, while remaining small enough to explore quickly.</w:t>
      </w:r>
    </w:p>
    <w:p>
      <w:pPr>
        <w:pStyle w:val="ListBullet"/>
        <w:spacing w:after="40"/>
      </w:pPr>
      <w:r>
        <w:t>2 floors</w:t>
      </w:r>
    </w:p>
    <w:p>
      <w:pPr>
        <w:pStyle w:val="ListBullet"/>
        <w:spacing w:after="40"/>
      </w:pPr>
      <w:r>
        <w:t>approximately 20 objects</w:t>
      </w:r>
    </w:p>
    <w:p>
      <w:pPr>
        <w:pStyle w:val="ListBullet"/>
        <w:spacing w:after="40"/>
      </w:pPr>
      <w:r>
        <w:t>2 curated tours</w:t>
      </w:r>
    </w:p>
    <w:p>
      <w:pPr>
        <w:pStyle w:val="ListBullet"/>
        <w:spacing w:after="40"/>
      </w:pPr>
      <w:r>
        <w:t>3 languages</w:t>
      </w:r>
    </w:p>
    <w:p>
      <w:pPr>
        <w:pStyle w:val="ListBullet"/>
        <w:spacing w:after="40"/>
      </w:pPr>
      <w:r>
        <w:t>one family/kids route</w:t>
      </w:r>
    </w:p>
    <w:p>
      <w:pPr>
        <w:pStyle w:val="ListBullet"/>
        <w:spacing w:after="40"/>
      </w:pPr>
      <w:r>
        <w:t>indoor map</w:t>
      </w:r>
    </w:p>
    <w:p>
      <w:pPr>
        <w:pStyle w:val="ListBullet"/>
        <w:spacing w:after="40"/>
      </w:pPr>
      <w:r>
        <w:t>one outdoor or hybrid stop</w:t>
      </w:r>
    </w:p>
    <w:p>
      <w:pPr>
        <w:pStyle w:val="ListBullet"/>
        <w:spacing w:after="40"/>
      </w:pPr>
      <w:r>
        <w:t>QR/number entry</w:t>
      </w:r>
    </w:p>
    <w:p>
      <w:pPr>
        <w:pStyle w:val="ListBullet"/>
        <w:spacing w:after="40"/>
      </w:pPr>
      <w:r>
        <w:t>accessibility features</w:t>
      </w:r>
    </w:p>
    <w:p>
      <w:pPr>
        <w:pStyle w:val="ListBullet"/>
        <w:spacing w:after="40"/>
      </w:pPr>
      <w:r>
        <w:t>representative analytics screenshots</w:t>
      </w:r>
    </w:p>
    <w:p>
      <w:pPr>
        <w:spacing w:after="40"/>
      </w:pPr>
      <w:r>
        <w:rPr>
          <w:b/>
          <w:color w:val="B7893B"/>
          <w:sz w:val="17"/>
        </w:rPr>
        <w:t>08</w:t>
      </w:r>
    </w:p>
    <w:p>
      <w:pPr>
        <w:pStyle w:val="Heading1"/>
        <w:keepNext/>
      </w:pPr>
      <w:r>
        <w:t>Channel strategy</w:t>
      </w:r>
    </w:p>
    <w:p>
      <w:r>
        <w:t>The marketing mix should favour specialist, trust-building channels. Broad paid acquisition is unlikely to be efficient until MAG has stronger international references and a more predictable buyer profile.</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cantSplit/>
        </w:trPr>
        <w:tc>
          <w:tcPr>
            <w:tcW w:type="dxa" w:w="2160"/>
            <w:shd w:fill="17324D"/>
            <w:vAlign w:val="center"/>
            <w:tcMar>
              <w:top w:w="100" w:type="dxa"/>
              <w:start w:w="120" w:type="dxa"/>
              <w:bottom w:w="100" w:type="dxa"/>
              <w:end w:w="120" w:type="dxa"/>
            </w:tcMar>
          </w:tcPr>
          <w:p>
            <w:pPr>
              <w:jc w:val="center"/>
            </w:pPr>
            <w:r>
              <w:rPr>
                <w:b/>
                <w:color w:val="FFFFFF"/>
                <w:sz w:val="19"/>
              </w:rPr>
              <w:t>Channel</w:t>
            </w:r>
          </w:p>
        </w:tc>
        <w:tc>
          <w:tcPr>
            <w:tcW w:type="dxa" w:w="3168"/>
            <w:shd w:fill="17324D"/>
            <w:vAlign w:val="center"/>
            <w:tcMar>
              <w:top w:w="100" w:type="dxa"/>
              <w:start w:w="120" w:type="dxa"/>
              <w:bottom w:w="100" w:type="dxa"/>
              <w:end w:w="120" w:type="dxa"/>
            </w:tcMar>
          </w:tcPr>
          <w:p>
            <w:pPr>
              <w:jc w:val="center"/>
            </w:pPr>
            <w:r>
              <w:rPr>
                <w:b/>
                <w:color w:val="FFFFFF"/>
                <w:sz w:val="19"/>
              </w:rPr>
              <w:t>Role</w:t>
            </w:r>
          </w:p>
        </w:tc>
        <w:tc>
          <w:tcPr>
            <w:tcW w:type="dxa" w:w="1656"/>
            <w:shd w:fill="17324D"/>
            <w:vAlign w:val="center"/>
            <w:tcMar>
              <w:top w:w="100" w:type="dxa"/>
              <w:start w:w="120" w:type="dxa"/>
              <w:bottom w:w="100" w:type="dxa"/>
              <w:end w:w="120" w:type="dxa"/>
            </w:tcMar>
          </w:tcPr>
          <w:p>
            <w:pPr>
              <w:jc w:val="center"/>
            </w:pPr>
            <w:r>
              <w:rPr>
                <w:b/>
                <w:color w:val="FFFFFF"/>
                <w:sz w:val="19"/>
              </w:rPr>
              <w:t>Priority</w:t>
            </w:r>
          </w:p>
        </w:tc>
        <w:tc>
          <w:tcPr>
            <w:tcW w:type="dxa" w:w="2880"/>
            <w:shd w:fill="17324D"/>
            <w:vAlign w:val="center"/>
            <w:tcMar>
              <w:top w:w="100" w:type="dxa"/>
              <w:start w:w="120" w:type="dxa"/>
              <w:bottom w:w="100" w:type="dxa"/>
              <w:end w:w="120" w:type="dxa"/>
            </w:tcMar>
          </w:tcPr>
          <w:p>
            <w:pPr>
              <w:jc w:val="center"/>
            </w:pPr>
            <w:r>
              <w:rPr>
                <w:b/>
                <w:color w:val="FFFFFF"/>
                <w:sz w:val="19"/>
              </w:rPr>
              <w:t>Typical asset</w:t>
            </w:r>
          </w:p>
        </w:tc>
      </w:tr>
      <w:tr>
        <w:trPr>
          <w:cantSplit/>
        </w:trPr>
        <w:tc>
          <w:tcPr>
            <w:tcW w:type="dxa" w:w="2160"/>
            <w:vAlign w:val="center"/>
            <w:tcMar>
              <w:top w:w="100" w:type="dxa"/>
              <w:start w:w="120" w:type="dxa"/>
              <w:bottom w:w="100" w:type="dxa"/>
              <w:end w:w="120" w:type="dxa"/>
            </w:tcMar>
          </w:tcPr>
          <w:p>
            <w:pPr>
              <w:spacing w:after="0"/>
            </w:pPr>
            <w:r>
              <w:rPr>
                <w:sz w:val="18"/>
              </w:rPr>
              <w:t>Case studies</w:t>
            </w:r>
          </w:p>
        </w:tc>
        <w:tc>
          <w:tcPr>
            <w:tcW w:type="dxa" w:w="3168"/>
            <w:vAlign w:val="center"/>
            <w:tcMar>
              <w:top w:w="100" w:type="dxa"/>
              <w:start w:w="120" w:type="dxa"/>
              <w:bottom w:w="100" w:type="dxa"/>
              <w:end w:w="120" w:type="dxa"/>
            </w:tcMar>
          </w:tcPr>
          <w:p>
            <w:pPr>
              <w:spacing w:after="0"/>
            </w:pPr>
            <w:r>
              <w:rPr>
                <w:sz w:val="18"/>
              </w:rPr>
              <w:t>Proof and conversion</w:t>
            </w:r>
          </w:p>
        </w:tc>
        <w:tc>
          <w:tcPr>
            <w:tcW w:type="dxa" w:w="1656"/>
            <w:vAlign w:val="center"/>
            <w:tcMar>
              <w:top w:w="100" w:type="dxa"/>
              <w:start w:w="120" w:type="dxa"/>
              <w:bottom w:w="100" w:type="dxa"/>
              <w:end w:w="120" w:type="dxa"/>
            </w:tcMar>
          </w:tcPr>
          <w:p>
            <w:pPr>
              <w:spacing w:after="0"/>
            </w:pPr>
            <w:r>
              <w:rPr>
                <w:sz w:val="18"/>
              </w:rPr>
              <w:t>Very high</w:t>
            </w:r>
          </w:p>
        </w:tc>
        <w:tc>
          <w:tcPr>
            <w:tcW w:type="dxa" w:w="2880"/>
            <w:vAlign w:val="center"/>
            <w:tcMar>
              <w:top w:w="100" w:type="dxa"/>
              <w:start w:w="120" w:type="dxa"/>
              <w:bottom w:w="100" w:type="dxa"/>
              <w:end w:w="120" w:type="dxa"/>
            </w:tcMar>
          </w:tcPr>
          <w:p>
            <w:pPr>
              <w:spacing w:after="0"/>
            </w:pPr>
            <w:r>
              <w:rPr>
                <w:sz w:val="18"/>
              </w:rPr>
              <w:t>Long-form story + metrics + video</w:t>
            </w:r>
          </w:p>
        </w:tc>
      </w:tr>
      <w:tr>
        <w:trPr>
          <w:cantSplit/>
        </w:trPr>
        <w:tc>
          <w:tcPr>
            <w:tcW w:type="dxa" w:w="2160"/>
            <w:vAlign w:val="center"/>
            <w:tcMar>
              <w:top w:w="100" w:type="dxa"/>
              <w:start w:w="120" w:type="dxa"/>
              <w:bottom w:w="100" w:type="dxa"/>
              <w:end w:w="120" w:type="dxa"/>
            </w:tcMar>
          </w:tcPr>
          <w:p>
            <w:pPr>
              <w:spacing w:after="0"/>
            </w:pPr>
            <w:r>
              <w:rPr>
                <w:sz w:val="18"/>
              </w:rPr>
              <w:t>Professional conferences</w:t>
            </w:r>
          </w:p>
        </w:tc>
        <w:tc>
          <w:tcPr>
            <w:tcW w:type="dxa" w:w="3168"/>
            <w:vAlign w:val="center"/>
            <w:tcMar>
              <w:top w:w="100" w:type="dxa"/>
              <w:start w:w="120" w:type="dxa"/>
              <w:bottom w:w="100" w:type="dxa"/>
              <w:end w:w="120" w:type="dxa"/>
            </w:tcMar>
          </w:tcPr>
          <w:p>
            <w:pPr>
              <w:spacing w:after="0"/>
            </w:pPr>
            <w:r>
              <w:rPr>
                <w:sz w:val="18"/>
              </w:rPr>
              <w:t>Authority and direct sales</w:t>
            </w:r>
          </w:p>
        </w:tc>
        <w:tc>
          <w:tcPr>
            <w:tcW w:type="dxa" w:w="1656"/>
            <w:vAlign w:val="center"/>
            <w:tcMar>
              <w:top w:w="100" w:type="dxa"/>
              <w:start w:w="120" w:type="dxa"/>
              <w:bottom w:w="100" w:type="dxa"/>
              <w:end w:w="120" w:type="dxa"/>
            </w:tcMar>
          </w:tcPr>
          <w:p>
            <w:pPr>
              <w:spacing w:after="0"/>
            </w:pPr>
            <w:r>
              <w:rPr>
                <w:sz w:val="18"/>
              </w:rPr>
              <w:t>Very high</w:t>
            </w:r>
          </w:p>
        </w:tc>
        <w:tc>
          <w:tcPr>
            <w:tcW w:type="dxa" w:w="2880"/>
            <w:vAlign w:val="center"/>
            <w:tcMar>
              <w:top w:w="100" w:type="dxa"/>
              <w:start w:w="120" w:type="dxa"/>
              <w:bottom w:w="100" w:type="dxa"/>
              <w:end w:w="120" w:type="dxa"/>
            </w:tcMar>
          </w:tcPr>
          <w:p>
            <w:pPr>
              <w:spacing w:after="0"/>
            </w:pPr>
            <w:r>
              <w:rPr>
                <w:sz w:val="18"/>
              </w:rPr>
              <w:t>Talk, demo, meetings</w:t>
            </w:r>
          </w:p>
        </w:tc>
      </w:tr>
      <w:tr>
        <w:trPr>
          <w:cantSplit/>
        </w:trPr>
        <w:tc>
          <w:tcPr>
            <w:tcW w:type="dxa" w:w="2160"/>
            <w:vAlign w:val="center"/>
            <w:tcMar>
              <w:top w:w="100" w:type="dxa"/>
              <w:start w:w="120" w:type="dxa"/>
              <w:bottom w:w="100" w:type="dxa"/>
              <w:end w:w="120" w:type="dxa"/>
            </w:tcMar>
          </w:tcPr>
          <w:p>
            <w:pPr>
              <w:spacing w:after="0"/>
            </w:pPr>
            <w:r>
              <w:rPr>
                <w:sz w:val="18"/>
              </w:rPr>
              <w:t>LinkedIn</w:t>
            </w:r>
          </w:p>
        </w:tc>
        <w:tc>
          <w:tcPr>
            <w:tcW w:type="dxa" w:w="3168"/>
            <w:vAlign w:val="center"/>
            <w:tcMar>
              <w:top w:w="100" w:type="dxa"/>
              <w:start w:w="120" w:type="dxa"/>
              <w:bottom w:w="100" w:type="dxa"/>
              <w:end w:w="120" w:type="dxa"/>
            </w:tcMar>
          </w:tcPr>
          <w:p>
            <w:pPr>
              <w:spacing w:after="0"/>
            </w:pPr>
            <w:r>
              <w:rPr>
                <w:sz w:val="18"/>
              </w:rPr>
              <w:t>Targeted awareness and trust</w:t>
            </w:r>
          </w:p>
        </w:tc>
        <w:tc>
          <w:tcPr>
            <w:tcW w:type="dxa" w:w="1656"/>
            <w:vAlign w:val="center"/>
            <w:tcMar>
              <w:top w:w="100" w:type="dxa"/>
              <w:start w:w="120" w:type="dxa"/>
              <w:bottom w:w="100" w:type="dxa"/>
              <w:end w:w="120" w:type="dxa"/>
            </w:tcMar>
          </w:tcPr>
          <w:p>
            <w:pPr>
              <w:spacing w:after="0"/>
            </w:pPr>
            <w:r>
              <w:rPr>
                <w:sz w:val="18"/>
              </w:rPr>
              <w:t>High</w:t>
            </w:r>
          </w:p>
        </w:tc>
        <w:tc>
          <w:tcPr>
            <w:tcW w:type="dxa" w:w="2880"/>
            <w:vAlign w:val="center"/>
            <w:tcMar>
              <w:top w:w="100" w:type="dxa"/>
              <w:start w:w="120" w:type="dxa"/>
              <w:bottom w:w="100" w:type="dxa"/>
              <w:end w:w="120" w:type="dxa"/>
            </w:tcMar>
          </w:tcPr>
          <w:p>
            <w:pPr>
              <w:spacing w:after="0"/>
            </w:pPr>
            <w:r>
              <w:rPr>
                <w:sz w:val="18"/>
              </w:rPr>
              <w:t>Expert posts, data, technical insight</w:t>
            </w:r>
          </w:p>
        </w:tc>
      </w:tr>
      <w:tr>
        <w:trPr>
          <w:cantSplit/>
        </w:trPr>
        <w:tc>
          <w:tcPr>
            <w:tcW w:type="dxa" w:w="2160"/>
            <w:vAlign w:val="center"/>
            <w:tcMar>
              <w:top w:w="100" w:type="dxa"/>
              <w:start w:w="120" w:type="dxa"/>
              <w:bottom w:w="100" w:type="dxa"/>
              <w:end w:w="120" w:type="dxa"/>
            </w:tcMar>
          </w:tcPr>
          <w:p>
            <w:pPr>
              <w:spacing w:after="0"/>
            </w:pPr>
            <w:r>
              <w:rPr>
                <w:sz w:val="18"/>
              </w:rPr>
              <w:t>Partner network</w:t>
            </w:r>
          </w:p>
        </w:tc>
        <w:tc>
          <w:tcPr>
            <w:tcW w:type="dxa" w:w="3168"/>
            <w:vAlign w:val="center"/>
            <w:tcMar>
              <w:top w:w="100" w:type="dxa"/>
              <w:start w:w="120" w:type="dxa"/>
              <w:bottom w:w="100" w:type="dxa"/>
              <w:end w:w="120" w:type="dxa"/>
            </w:tcMar>
          </w:tcPr>
          <w:p>
            <w:pPr>
              <w:spacing w:after="0"/>
            </w:pPr>
            <w:r>
              <w:rPr>
                <w:sz w:val="18"/>
              </w:rPr>
              <w:t>Scalable referrals</w:t>
            </w:r>
          </w:p>
        </w:tc>
        <w:tc>
          <w:tcPr>
            <w:tcW w:type="dxa" w:w="1656"/>
            <w:vAlign w:val="center"/>
            <w:tcMar>
              <w:top w:w="100" w:type="dxa"/>
              <w:start w:w="120" w:type="dxa"/>
              <w:bottom w:w="100" w:type="dxa"/>
              <w:end w:w="120" w:type="dxa"/>
            </w:tcMar>
          </w:tcPr>
          <w:p>
            <w:pPr>
              <w:spacing w:after="0"/>
            </w:pPr>
            <w:r>
              <w:rPr>
                <w:sz w:val="18"/>
              </w:rPr>
              <w:t>High</w:t>
            </w:r>
          </w:p>
        </w:tc>
        <w:tc>
          <w:tcPr>
            <w:tcW w:type="dxa" w:w="2880"/>
            <w:vAlign w:val="center"/>
            <w:tcMar>
              <w:top w:w="100" w:type="dxa"/>
              <w:start w:w="120" w:type="dxa"/>
              <w:bottom w:w="100" w:type="dxa"/>
              <w:end w:w="120" w:type="dxa"/>
            </w:tcMar>
          </w:tcPr>
          <w:p>
            <w:pPr>
              <w:spacing w:after="0"/>
            </w:pPr>
            <w:r>
              <w:rPr>
                <w:sz w:val="18"/>
              </w:rPr>
              <w:t>Partner kit, referral model</w:t>
            </w:r>
          </w:p>
        </w:tc>
      </w:tr>
      <w:tr>
        <w:trPr>
          <w:cantSplit/>
        </w:trPr>
        <w:tc>
          <w:tcPr>
            <w:tcW w:type="dxa" w:w="2160"/>
            <w:vAlign w:val="center"/>
            <w:tcMar>
              <w:top w:w="100" w:type="dxa"/>
              <w:start w:w="120" w:type="dxa"/>
              <w:bottom w:w="100" w:type="dxa"/>
              <w:end w:w="120" w:type="dxa"/>
            </w:tcMar>
          </w:tcPr>
          <w:p>
            <w:pPr>
              <w:spacing w:after="0"/>
            </w:pPr>
            <w:r>
              <w:rPr>
                <w:sz w:val="18"/>
              </w:rPr>
              <w:t>SEO / long-form content</w:t>
            </w:r>
          </w:p>
        </w:tc>
        <w:tc>
          <w:tcPr>
            <w:tcW w:type="dxa" w:w="3168"/>
            <w:vAlign w:val="center"/>
            <w:tcMar>
              <w:top w:w="100" w:type="dxa"/>
              <w:start w:w="120" w:type="dxa"/>
              <w:bottom w:w="100" w:type="dxa"/>
              <w:end w:w="120" w:type="dxa"/>
            </w:tcMar>
          </w:tcPr>
          <w:p>
            <w:pPr>
              <w:spacing w:after="0"/>
            </w:pPr>
            <w:r>
              <w:rPr>
                <w:sz w:val="18"/>
              </w:rPr>
              <w:t>Inbound demand</w:t>
            </w:r>
          </w:p>
        </w:tc>
        <w:tc>
          <w:tcPr>
            <w:tcW w:type="dxa" w:w="1656"/>
            <w:vAlign w:val="center"/>
            <w:tcMar>
              <w:top w:w="100" w:type="dxa"/>
              <w:start w:w="120" w:type="dxa"/>
              <w:bottom w:w="100" w:type="dxa"/>
              <w:end w:w="120" w:type="dxa"/>
            </w:tcMar>
          </w:tcPr>
          <w:p>
            <w:pPr>
              <w:spacing w:after="0"/>
            </w:pPr>
            <w:r>
              <w:rPr>
                <w:sz w:val="18"/>
              </w:rPr>
              <w:t>Medium-high</w:t>
            </w:r>
          </w:p>
        </w:tc>
        <w:tc>
          <w:tcPr>
            <w:tcW w:type="dxa" w:w="2880"/>
            <w:vAlign w:val="center"/>
            <w:tcMar>
              <w:top w:w="100" w:type="dxa"/>
              <w:start w:w="120" w:type="dxa"/>
              <w:bottom w:w="100" w:type="dxa"/>
              <w:end w:w="120" w:type="dxa"/>
            </w:tcMar>
          </w:tcPr>
          <w:p>
            <w:pPr>
              <w:spacing w:after="0"/>
            </w:pPr>
            <w:r>
              <w:rPr>
                <w:sz w:val="18"/>
              </w:rPr>
              <w:t>Technical and procurement articles</w:t>
            </w:r>
          </w:p>
        </w:tc>
      </w:tr>
      <w:tr>
        <w:trPr>
          <w:cantSplit/>
        </w:trPr>
        <w:tc>
          <w:tcPr>
            <w:tcW w:type="dxa" w:w="2160"/>
            <w:vAlign w:val="center"/>
            <w:tcMar>
              <w:top w:w="100" w:type="dxa"/>
              <w:start w:w="120" w:type="dxa"/>
              <w:bottom w:w="100" w:type="dxa"/>
              <w:end w:w="120" w:type="dxa"/>
            </w:tcMar>
          </w:tcPr>
          <w:p>
            <w:pPr>
              <w:spacing w:after="0"/>
            </w:pPr>
            <w:r>
              <w:rPr>
                <w:sz w:val="18"/>
              </w:rPr>
              <w:t>Benchmark reports</w:t>
            </w:r>
          </w:p>
        </w:tc>
        <w:tc>
          <w:tcPr>
            <w:tcW w:type="dxa" w:w="3168"/>
            <w:vAlign w:val="center"/>
            <w:tcMar>
              <w:top w:w="100" w:type="dxa"/>
              <w:start w:w="120" w:type="dxa"/>
              <w:bottom w:w="100" w:type="dxa"/>
              <w:end w:w="120" w:type="dxa"/>
            </w:tcMar>
          </w:tcPr>
          <w:p>
            <w:pPr>
              <w:spacing w:after="0"/>
            </w:pPr>
            <w:r>
              <w:rPr>
                <w:sz w:val="18"/>
              </w:rPr>
              <w:t>Thought leadership</w:t>
            </w:r>
          </w:p>
        </w:tc>
        <w:tc>
          <w:tcPr>
            <w:tcW w:type="dxa" w:w="1656"/>
            <w:vAlign w:val="center"/>
            <w:tcMar>
              <w:top w:w="100" w:type="dxa"/>
              <w:start w:w="120" w:type="dxa"/>
              <w:bottom w:w="100" w:type="dxa"/>
              <w:end w:w="120" w:type="dxa"/>
            </w:tcMar>
          </w:tcPr>
          <w:p>
            <w:pPr>
              <w:spacing w:after="0"/>
            </w:pPr>
            <w:r>
              <w:rPr>
                <w:sz w:val="18"/>
              </w:rPr>
              <w:t>Medium-high</w:t>
            </w:r>
          </w:p>
        </w:tc>
        <w:tc>
          <w:tcPr>
            <w:tcW w:type="dxa" w:w="2880"/>
            <w:vAlign w:val="center"/>
            <w:tcMar>
              <w:top w:w="100" w:type="dxa"/>
              <w:start w:w="120" w:type="dxa"/>
              <w:bottom w:w="100" w:type="dxa"/>
              <w:end w:w="120" w:type="dxa"/>
            </w:tcMar>
          </w:tcPr>
          <w:p>
            <w:pPr>
              <w:spacing w:after="0"/>
            </w:pPr>
            <w:r>
              <w:rPr>
                <w:sz w:val="18"/>
              </w:rPr>
              <w:t>Annual industry report</w:t>
            </w:r>
          </w:p>
        </w:tc>
      </w:tr>
      <w:tr>
        <w:trPr>
          <w:cantSplit/>
        </w:trPr>
        <w:tc>
          <w:tcPr>
            <w:tcW w:type="dxa" w:w="2160"/>
            <w:vAlign w:val="center"/>
            <w:tcMar>
              <w:top w:w="100" w:type="dxa"/>
              <w:start w:w="120" w:type="dxa"/>
              <w:bottom w:w="100" w:type="dxa"/>
              <w:end w:w="120" w:type="dxa"/>
            </w:tcMar>
          </w:tcPr>
          <w:p>
            <w:pPr>
              <w:spacing w:after="0"/>
            </w:pPr>
            <w:r>
              <w:rPr>
                <w:sz w:val="18"/>
              </w:rPr>
              <w:t>Webinars</w:t>
            </w:r>
          </w:p>
        </w:tc>
        <w:tc>
          <w:tcPr>
            <w:tcW w:type="dxa" w:w="3168"/>
            <w:vAlign w:val="center"/>
            <w:tcMar>
              <w:top w:w="100" w:type="dxa"/>
              <w:start w:w="120" w:type="dxa"/>
              <w:bottom w:w="100" w:type="dxa"/>
              <w:end w:w="120" w:type="dxa"/>
            </w:tcMar>
          </w:tcPr>
          <w:p>
            <w:pPr>
              <w:spacing w:after="0"/>
            </w:pPr>
            <w:r>
              <w:rPr>
                <w:sz w:val="18"/>
              </w:rPr>
              <w:t>Education and lead qualification</w:t>
            </w:r>
          </w:p>
        </w:tc>
        <w:tc>
          <w:tcPr>
            <w:tcW w:type="dxa" w:w="1656"/>
            <w:vAlign w:val="center"/>
            <w:tcMar>
              <w:top w:w="100" w:type="dxa"/>
              <w:start w:w="120" w:type="dxa"/>
              <w:bottom w:w="100" w:type="dxa"/>
              <w:end w:w="120" w:type="dxa"/>
            </w:tcMar>
          </w:tcPr>
          <w:p>
            <w:pPr>
              <w:spacing w:after="0"/>
            </w:pPr>
            <w:r>
              <w:rPr>
                <w:sz w:val="18"/>
              </w:rPr>
              <w:t>Medium</w:t>
            </w:r>
          </w:p>
        </w:tc>
        <w:tc>
          <w:tcPr>
            <w:tcW w:type="dxa" w:w="2880"/>
            <w:vAlign w:val="center"/>
            <w:tcMar>
              <w:top w:w="100" w:type="dxa"/>
              <w:start w:w="120" w:type="dxa"/>
              <w:bottom w:w="100" w:type="dxa"/>
              <w:end w:w="120" w:type="dxa"/>
            </w:tcMar>
          </w:tcPr>
          <w:p>
            <w:pPr>
              <w:spacing w:after="0"/>
            </w:pPr>
            <w:r>
              <w:rPr>
                <w:sz w:val="18"/>
              </w:rPr>
              <w:t>Technical/curatorial sessions</w:t>
            </w:r>
          </w:p>
        </w:tc>
      </w:tr>
      <w:tr>
        <w:trPr>
          <w:cantSplit/>
        </w:trPr>
        <w:tc>
          <w:tcPr>
            <w:tcW w:type="dxa" w:w="2160"/>
            <w:vAlign w:val="center"/>
            <w:tcMar>
              <w:top w:w="100" w:type="dxa"/>
              <w:start w:w="120" w:type="dxa"/>
              <w:bottom w:w="100" w:type="dxa"/>
              <w:end w:w="120" w:type="dxa"/>
            </w:tcMar>
          </w:tcPr>
          <w:p>
            <w:pPr>
              <w:spacing w:after="0"/>
            </w:pPr>
            <w:r>
              <w:rPr>
                <w:sz w:val="18"/>
              </w:rPr>
              <w:t>Paid search/social</w:t>
            </w:r>
          </w:p>
        </w:tc>
        <w:tc>
          <w:tcPr>
            <w:tcW w:type="dxa" w:w="3168"/>
            <w:vAlign w:val="center"/>
            <w:tcMar>
              <w:top w:w="100" w:type="dxa"/>
              <w:start w:w="120" w:type="dxa"/>
              <w:bottom w:w="100" w:type="dxa"/>
              <w:end w:w="120" w:type="dxa"/>
            </w:tcMar>
          </w:tcPr>
          <w:p>
            <w:pPr>
              <w:spacing w:after="0"/>
            </w:pPr>
            <w:r>
              <w:rPr>
                <w:sz w:val="18"/>
              </w:rPr>
              <w:t>Selective demand capture</w:t>
            </w:r>
          </w:p>
        </w:tc>
        <w:tc>
          <w:tcPr>
            <w:tcW w:type="dxa" w:w="1656"/>
            <w:vAlign w:val="center"/>
            <w:tcMar>
              <w:top w:w="100" w:type="dxa"/>
              <w:start w:w="120" w:type="dxa"/>
              <w:bottom w:w="100" w:type="dxa"/>
              <w:end w:w="120" w:type="dxa"/>
            </w:tcMar>
          </w:tcPr>
          <w:p>
            <w:pPr>
              <w:spacing w:after="0"/>
            </w:pPr>
            <w:r>
              <w:rPr>
                <w:sz w:val="18"/>
              </w:rPr>
              <w:t>Low initially</w:t>
            </w:r>
          </w:p>
        </w:tc>
        <w:tc>
          <w:tcPr>
            <w:tcW w:type="dxa" w:w="2880"/>
            <w:vAlign w:val="center"/>
            <w:tcMar>
              <w:top w:w="100" w:type="dxa"/>
              <w:start w:w="120" w:type="dxa"/>
              <w:bottom w:w="100" w:type="dxa"/>
              <w:end w:w="120" w:type="dxa"/>
            </w:tcMar>
          </w:tcPr>
          <w:p>
            <w:pPr>
              <w:spacing w:after="0"/>
            </w:pPr>
            <w:r>
              <w:rPr>
                <w:sz w:val="18"/>
              </w:rPr>
              <w:t>Retargeting / high-intent keywords</w:t>
            </w:r>
          </w:p>
        </w:tc>
      </w:tr>
    </w:tbl>
    <w:p>
      <w:pPr>
        <w:spacing w:after="40"/>
      </w:pPr>
      <w:r>
        <w:rPr>
          <w:b/>
          <w:color w:val="B7893B"/>
          <w:sz w:val="17"/>
        </w:rPr>
        <w:t>09</w:t>
      </w:r>
    </w:p>
    <w:p>
      <w:pPr>
        <w:pStyle w:val="Heading1"/>
        <w:keepNext/>
      </w:pPr>
      <w:r>
        <w:t>Conference and professional-network strategy</w:t>
      </w:r>
    </w:p>
    <w:p>
      <w:r>
        <w:t>Specialist museum events are disproportionately valuable because the buyer population is small, international and highly networked. MAG should aim to enter through practical case studies and expert sessions rather than product pitches.</w:t>
      </w:r>
    </w:p>
    <w:p>
      <w:pPr>
        <w:pStyle w:val="Heading2"/>
        <w:keepNext/>
      </w:pPr>
      <w:r>
        <w:t>Priority channels</w:t>
      </w:r>
    </w:p>
    <w:p>
      <w:r>
        <w:rPr>
          <w:b/>
        </w:rPr>
        <w:t xml:space="preserve">NEMO – Network of European Museum Organisations: </w:t>
      </w:r>
      <w:r>
        <w:t>Relevant for museum policy, digital transformation, institutional resilience and professional networking across Europe.</w:t>
      </w:r>
    </w:p>
    <w:p>
      <w:r>
        <w:rPr>
          <w:b/>
        </w:rPr>
        <w:t xml:space="preserve">MuseumNext: </w:t>
      </w:r>
      <w:r>
        <w:t>Strong fit for digital collections, interpretation, visitor experience and museum technology professionals.</w:t>
      </w:r>
    </w:p>
    <w:p>
      <w:r>
        <w:rPr>
          <w:b/>
        </w:rPr>
        <w:t xml:space="preserve">Museums + Heritage Show: </w:t>
      </w:r>
      <w:r>
        <w:t>More commercially oriented; useful for direct sales, supplier relationships and live demos.</w:t>
      </w:r>
    </w:p>
    <w:p>
      <w:r>
        <w:rPr>
          <w:b/>
        </w:rPr>
        <w:t xml:space="preserve">Europeana community: </w:t>
      </w:r>
      <w:r>
        <w:t>Useful for thought leadership around structured cultural heritage data, storytelling and reuse of digitised collections.</w:t>
      </w:r>
    </w:p>
    <w:p>
      <w:pPr>
        <w:pStyle w:val="Heading2"/>
        <w:keepNext/>
      </w:pPr>
      <w:r>
        <w:t>Best conference pitch</w:t>
      </w:r>
    </w:p>
    <w:tbl>
      <w:tblPr>
        <w:tblW w:type="auto" w:w="0"/>
        <w:jc w:val="center"/>
        <w:tblLook w:firstColumn="1" w:firstRow="1" w:lastColumn="0" w:lastRow="0" w:noHBand="0" w:noVBand="1" w:val="04A0"/>
      </w:tblPr>
      <w:tblGrid>
        <w:gridCol w:w="10080"/>
      </w:tblGrid>
      <w:tr>
        <w:tc>
          <w:tcPr>
            <w:tcW w:type="dxa" w:w="10080"/>
            <w:shd w:fill="F6F0E6"/>
            <w:tcMar>
              <w:top w:w="120" w:type="dxa"/>
              <w:start w:w="180" w:type="dxa"/>
              <w:bottom w:w="120" w:type="dxa"/>
              <w:end w:w="180" w:type="dxa"/>
            </w:tcMar>
          </w:tcPr>
          <w:p>
            <w:pPr>
              <w:spacing w:after="80"/>
            </w:pPr>
            <w:r>
              <w:rPr>
                <w:b/>
                <w:color w:val="B7893B"/>
                <w:sz w:val="22"/>
              </w:rPr>
              <w:t>Suggested talk title</w:t>
            </w:r>
          </w:p>
          <w:p>
            <w:pPr>
              <w:spacing w:after="0" w:line="264" w:lineRule="auto"/>
            </w:pPr>
            <w:r>
              <w:t>From Collection Database to Visitor Experience: How Museums Can Eliminate Duplicate Content Workflows</w:t>
            </w:r>
          </w:p>
        </w:tc>
      </w:tr>
    </w:tbl>
    <w:p>
      <w:pPr>
        <w:spacing w:after="0"/>
      </w:pPr>
    </w:p>
    <w:p>
      <w:r>
        <w:t>The strongest conference presence is educational: explain a real museum problem, show the architecture and results, and let MAG appear as the solution rather than as the subject of a sales presentation.</w:t>
      </w:r>
    </w:p>
    <w:p>
      <w:pPr>
        <w:spacing w:after="40"/>
      </w:pPr>
      <w:r>
        <w:rPr>
          <w:b/>
          <w:color w:val="B7893B"/>
          <w:sz w:val="17"/>
        </w:rPr>
        <w:t>10</w:t>
      </w:r>
    </w:p>
    <w:p>
      <w:pPr>
        <w:pStyle w:val="Heading1"/>
        <w:keepNext/>
      </w:pPr>
      <w:r>
        <w:t>Content, SEO and thought leadership</w:t>
      </w:r>
    </w:p>
    <w:p>
      <w:r>
        <w:t>Search strategy should target enterprise problems and implementation questions. Competing on the broad phrase “audio guide software” would attract many price-sensitive buyers and obscure the platform’s strongest differentiators.</w:t>
      </w:r>
    </w:p>
    <w:p>
      <w:pPr>
        <w:pStyle w:val="Heading2"/>
        <w:keepNext/>
      </w:pPr>
      <w:r>
        <w:t>High-value topic clusters</w:t>
      </w:r>
    </w:p>
    <w:p>
      <w:pPr>
        <w:pStyle w:val="ListBullet"/>
        <w:spacing w:after="40"/>
      </w:pPr>
      <w:r>
        <w:t>museum digital guide platform</w:t>
      </w:r>
    </w:p>
    <w:p>
      <w:pPr>
        <w:pStyle w:val="ListBullet"/>
        <w:spacing w:after="40"/>
      </w:pPr>
      <w:r>
        <w:t>museum visitor experience software</w:t>
      </w:r>
    </w:p>
    <w:p>
      <w:pPr>
        <w:pStyle w:val="ListBullet"/>
        <w:spacing w:after="40"/>
      </w:pPr>
      <w:r>
        <w:t>museum CMS integration</w:t>
      </w:r>
    </w:p>
    <w:p>
      <w:pPr>
        <w:pStyle w:val="ListBullet"/>
        <w:spacing w:after="40"/>
      </w:pPr>
      <w:r>
        <w:t>museum collection-management integration</w:t>
      </w:r>
    </w:p>
    <w:p>
      <w:pPr>
        <w:pStyle w:val="ListBullet"/>
        <w:spacing w:after="40"/>
      </w:pPr>
      <w:r>
        <w:t>museum PWA and offline guide</w:t>
      </w:r>
    </w:p>
    <w:p>
      <w:pPr>
        <w:pStyle w:val="ListBullet"/>
        <w:spacing w:after="40"/>
      </w:pPr>
      <w:r>
        <w:t>museum indoor navigation</w:t>
      </w:r>
    </w:p>
    <w:p>
      <w:pPr>
        <w:pStyle w:val="ListBullet"/>
        <w:spacing w:after="40"/>
      </w:pPr>
      <w:r>
        <w:t>digital interpretation platform</w:t>
      </w:r>
    </w:p>
    <w:p>
      <w:pPr>
        <w:pStyle w:val="ListBullet"/>
        <w:spacing w:after="40"/>
      </w:pPr>
      <w:r>
        <w:t>museum accessibility technology</w:t>
      </w:r>
    </w:p>
    <w:p>
      <w:pPr>
        <w:pStyle w:val="ListBullet"/>
        <w:spacing w:after="40"/>
      </w:pPr>
      <w:r>
        <w:t>multilingual museum guide</w:t>
      </w:r>
    </w:p>
    <w:p>
      <w:pPr>
        <w:pStyle w:val="ListBullet"/>
        <w:spacing w:after="40"/>
      </w:pPr>
      <w:r>
        <w:t>museum analytics</w:t>
      </w:r>
    </w:p>
    <w:p>
      <w:pPr>
        <w:pStyle w:val="ListBullet"/>
        <w:spacing w:after="40"/>
      </w:pPr>
      <w:r>
        <w:t>museum digital transformation</w:t>
      </w:r>
    </w:p>
    <w:p>
      <w:pPr>
        <w:pStyle w:val="Heading2"/>
        <w:keepNext/>
      </w:pPr>
      <w:r>
        <w:t>Long-tail editorial ideas</w:t>
      </w:r>
    </w:p>
    <w:p>
      <w:pPr>
        <w:pStyle w:val="ListBullet"/>
        <w:spacing w:after="40"/>
      </w:pPr>
      <w:r>
        <w:t>How to connect a collection management system to a museum guide</w:t>
      </w:r>
    </w:p>
    <w:p>
      <w:pPr>
        <w:pStyle w:val="ListBullet"/>
        <w:spacing w:after="40"/>
      </w:pPr>
      <w:r>
        <w:t>How to build a digital guide without duplicating collection data</w:t>
      </w:r>
    </w:p>
    <w:p>
      <w:pPr>
        <w:pStyle w:val="ListBullet"/>
        <w:spacing w:after="40"/>
      </w:pPr>
      <w:r>
        <w:t>PWA vs native app for museums</w:t>
      </w:r>
    </w:p>
    <w:p>
      <w:pPr>
        <w:pStyle w:val="ListBullet"/>
        <w:spacing w:after="40"/>
      </w:pPr>
      <w:r>
        <w:t>How much does a museum digital visitor platform cost?</w:t>
      </w:r>
    </w:p>
    <w:p>
      <w:pPr>
        <w:pStyle w:val="ListBullet"/>
        <w:spacing w:after="40"/>
      </w:pPr>
      <w:r>
        <w:t>What museums should ask before buying an audio-guide platform</w:t>
      </w:r>
    </w:p>
    <w:p>
      <w:pPr>
        <w:pStyle w:val="ListBullet"/>
        <w:spacing w:after="40"/>
      </w:pPr>
      <w:r>
        <w:t>How to measure digital-guide adoption and completion</w:t>
      </w:r>
    </w:p>
    <w:p>
      <w:pPr>
        <w:pStyle w:val="ListBullet"/>
        <w:spacing w:after="40"/>
      </w:pPr>
      <w:r>
        <w:t>How to design multilingual museum content workflows</w:t>
      </w:r>
    </w:p>
    <w:p>
      <w:pPr>
        <w:pStyle w:val="ListBullet"/>
        <w:spacing w:after="40"/>
      </w:pPr>
      <w:r>
        <w:t>How to preserve visitor privacy in location-aware museum experiences</w:t>
      </w:r>
    </w:p>
    <w:p>
      <w:pPr>
        <w:pStyle w:val="Heading2"/>
        <w:keepNext/>
      </w:pPr>
      <w:r>
        <w:t>Annual benchmark report</w:t>
      </w:r>
    </w:p>
    <w:p>
      <w:r>
        <w:t>A recurring “State of Digital Museum Guides” report could become a major lead-generation and authority asset. A useful sample would analyse 100–200 institutions for the presence of PWA/native apps, offline support, languages, accessibility, maps, AI, QR, payments and analytics maturity.</w:t>
      </w:r>
    </w:p>
    <w:p>
      <w:pPr>
        <w:spacing w:after="40"/>
      </w:pPr>
      <w:r>
        <w:rPr>
          <w:b/>
          <w:color w:val="B7893B"/>
          <w:sz w:val="17"/>
        </w:rPr>
        <w:t>11</w:t>
      </w:r>
    </w:p>
    <w:p>
      <w:pPr>
        <w:pStyle w:val="Heading1"/>
        <w:keepNext/>
      </w:pPr>
      <w:r>
        <w:t>Procurement and enterprise trust</w:t>
      </w:r>
    </w:p>
    <w:p>
      <w:r>
        <w:t>For state and city-funded museums, procurement content is marketing. A strong technical and governance pack reduces risk for buyers and makes the platform easier to specify in tenders.</w:t>
      </w:r>
    </w:p>
    <w:p>
      <w:pPr>
        <w:pStyle w:val="Heading2"/>
        <w:keepNext/>
      </w:pPr>
      <w:r>
        <w:t>Recommended Procurement &amp; IT library</w:t>
      </w:r>
    </w:p>
    <w:p>
      <w:pPr>
        <w:pStyle w:val="ListBullet"/>
        <w:spacing w:after="40"/>
      </w:pPr>
      <w:r>
        <w:t>Technical Architecture</w:t>
      </w:r>
    </w:p>
    <w:p>
      <w:pPr>
        <w:pStyle w:val="ListBullet"/>
        <w:spacing w:after="40"/>
      </w:pPr>
      <w:r>
        <w:t>Security Overview</w:t>
      </w:r>
    </w:p>
    <w:p>
      <w:pPr>
        <w:pStyle w:val="ListBullet"/>
        <w:spacing w:after="40"/>
      </w:pPr>
      <w:r>
        <w:t>GDPR &amp; Privacy</w:t>
      </w:r>
    </w:p>
    <w:p>
      <w:pPr>
        <w:pStyle w:val="ListBullet"/>
        <w:spacing w:after="40"/>
      </w:pPr>
      <w:r>
        <w:t>Accessibility Statement</w:t>
      </w:r>
    </w:p>
    <w:p>
      <w:pPr>
        <w:pStyle w:val="ListBullet"/>
        <w:spacing w:after="40"/>
      </w:pPr>
      <w:r>
        <w:t>Data Ownership &amp; Portability</w:t>
      </w:r>
    </w:p>
    <w:p>
      <w:pPr>
        <w:pStyle w:val="ListBullet"/>
        <w:spacing w:after="40"/>
      </w:pPr>
      <w:r>
        <w:t>Hosting Models</w:t>
      </w:r>
    </w:p>
    <w:p>
      <w:pPr>
        <w:pStyle w:val="ListBullet"/>
        <w:spacing w:after="40"/>
      </w:pPr>
      <w:r>
        <w:t>Backup &amp; Disaster Recovery</w:t>
      </w:r>
    </w:p>
    <w:p>
      <w:pPr>
        <w:pStyle w:val="ListBullet"/>
        <w:spacing w:after="40"/>
      </w:pPr>
      <w:r>
        <w:t>API Documentation</w:t>
      </w:r>
    </w:p>
    <w:p>
      <w:pPr>
        <w:pStyle w:val="ListBullet"/>
        <w:spacing w:after="40"/>
      </w:pPr>
      <w:r>
        <w:t>SLA Options</w:t>
      </w:r>
    </w:p>
    <w:p>
      <w:pPr>
        <w:pStyle w:val="ListBullet"/>
        <w:spacing w:after="40"/>
      </w:pPr>
      <w:r>
        <w:t>Implementation Methodology</w:t>
      </w:r>
    </w:p>
    <w:p>
      <w:pPr>
        <w:pStyle w:val="ListBullet"/>
        <w:spacing w:after="40"/>
      </w:pPr>
      <w:r>
        <w:t>Migration Strategy</w:t>
      </w:r>
    </w:p>
    <w:p>
      <w:pPr>
        <w:pStyle w:val="ListBullet"/>
        <w:spacing w:after="40"/>
      </w:pPr>
      <w:r>
        <w:t>Support Policy</w:t>
      </w:r>
    </w:p>
    <w:p>
      <w:pPr>
        <w:pStyle w:val="ListBullet"/>
        <w:spacing w:after="40"/>
      </w:pPr>
      <w:r>
        <w:t>Versioning &amp; Upgrade Policy</w:t>
      </w:r>
    </w:p>
    <w:tbl>
      <w:tblPr>
        <w:tblW w:type="auto" w:w="0"/>
        <w:jc w:val="center"/>
        <w:tblLook w:firstColumn="1" w:firstRow="1" w:lastColumn="0" w:lastRow="0" w:noHBand="0" w:noVBand="1" w:val="04A0"/>
      </w:tblPr>
      <w:tblGrid>
        <w:gridCol w:w="10080"/>
      </w:tblGrid>
      <w:tr>
        <w:tc>
          <w:tcPr>
            <w:tcW w:type="dxa" w:w="10080"/>
            <w:shd w:fill="EAF3F3"/>
            <w:tcMar>
              <w:top w:w="120" w:type="dxa"/>
              <w:start w:w="180" w:type="dxa"/>
              <w:bottom w:w="120" w:type="dxa"/>
              <w:end w:w="180" w:type="dxa"/>
            </w:tcMar>
          </w:tcPr>
          <w:p>
            <w:pPr>
              <w:spacing w:after="80"/>
            </w:pPr>
            <w:r>
              <w:rPr>
                <w:b/>
                <w:color w:val="1E6F74"/>
                <w:sz w:val="22"/>
              </w:rPr>
              <w:t>Marketing effect</w:t>
            </w:r>
          </w:p>
          <w:p>
            <w:pPr>
              <w:spacing w:after="0" w:line="264" w:lineRule="auto"/>
            </w:pPr>
            <w:r>
              <w:t>Procurement documentation signals that MAG is an institutional system with a long-term operating model—not a hobby plugin.</w:t>
            </w:r>
          </w:p>
        </w:tc>
      </w:tr>
    </w:tbl>
    <w:p>
      <w:pPr>
        <w:spacing w:after="0"/>
      </w:pPr>
    </w:p>
    <w:p>
      <w:pPr>
        <w:spacing w:after="40"/>
      </w:pPr>
      <w:r>
        <w:rPr>
          <w:b/>
          <w:color w:val="B7893B"/>
          <w:sz w:val="17"/>
        </w:rPr>
        <w:t>12</w:t>
      </w:r>
    </w:p>
    <w:p>
      <w:pPr>
        <w:pStyle w:val="Heading1"/>
        <w:keepNext/>
      </w:pPr>
      <w:r>
        <w:t>Partnership and channel sales</w:t>
      </w:r>
    </w:p>
    <w:p>
      <w:r>
        <w:t>Long-term international growth should not depend only on direct outbound sales. A partner ecosystem can bring MAG into projects before a museum has even started looking for a guide platform.</w:t>
      </w:r>
    </w:p>
    <w:p>
      <w:pPr>
        <w:pStyle w:val="Heading2"/>
        <w:keepNext/>
      </w:pPr>
      <w:r>
        <w:t>Priority partner types</w:t>
      </w:r>
    </w:p>
    <w:p>
      <w:pPr>
        <w:pStyle w:val="ListBullet"/>
        <w:spacing w:after="40"/>
      </w:pPr>
      <w:r>
        <w:t>Museum website agencies</w:t>
      </w:r>
    </w:p>
    <w:p>
      <w:pPr>
        <w:pStyle w:val="ListBullet"/>
        <w:spacing w:after="40"/>
      </w:pPr>
      <w:r>
        <w:t>Exhibition designers</w:t>
      </w:r>
    </w:p>
    <w:p>
      <w:pPr>
        <w:pStyle w:val="ListBullet"/>
        <w:spacing w:after="40"/>
      </w:pPr>
      <w:r>
        <w:t>AV integrators</w:t>
      </w:r>
    </w:p>
    <w:p>
      <w:pPr>
        <w:pStyle w:val="ListBullet"/>
        <w:spacing w:after="40"/>
      </w:pPr>
      <w:r>
        <w:t>Museum technology consultants</w:t>
      </w:r>
    </w:p>
    <w:p>
      <w:pPr>
        <w:pStyle w:val="ListBullet"/>
        <w:spacing w:after="40"/>
      </w:pPr>
      <w:r>
        <w:t>Collection-management implementers</w:t>
      </w:r>
    </w:p>
    <w:p>
      <w:pPr>
        <w:pStyle w:val="ListBullet"/>
        <w:spacing w:after="40"/>
      </w:pPr>
      <w:r>
        <w:t>Digitisation providers</w:t>
      </w:r>
    </w:p>
    <w:p>
      <w:pPr>
        <w:pStyle w:val="ListBullet"/>
        <w:spacing w:after="40"/>
      </w:pPr>
      <w:r>
        <w:t>Accessibility consultants</w:t>
      </w:r>
    </w:p>
    <w:p>
      <w:pPr>
        <w:pStyle w:val="ListBullet"/>
        <w:spacing w:after="40"/>
      </w:pPr>
      <w:r>
        <w:t>Translation agencies</w:t>
      </w:r>
    </w:p>
    <w:p>
      <w:pPr>
        <w:pStyle w:val="ListBullet"/>
        <w:spacing w:after="40"/>
      </w:pPr>
      <w:r>
        <w:t>Audio-production studios</w:t>
      </w:r>
    </w:p>
    <w:p>
      <w:pPr>
        <w:pStyle w:val="Heading2"/>
        <w:keepNext/>
      </w:pPr>
      <w:r>
        <w:t>MAG Partner Programme</w:t>
      </w:r>
    </w:p>
    <w:p>
      <w:pPr>
        <w:pStyle w:val="ListBullet"/>
        <w:spacing w:after="40"/>
      </w:pPr>
      <w:r>
        <w:t>Referral partner – introduces qualified opportunities</w:t>
      </w:r>
    </w:p>
    <w:p>
      <w:pPr>
        <w:pStyle w:val="ListBullet"/>
        <w:spacing w:after="40"/>
      </w:pPr>
      <w:r>
        <w:t>Implementation partner – deploys and configures MAG</w:t>
      </w:r>
    </w:p>
    <w:p>
      <w:pPr>
        <w:pStyle w:val="ListBullet"/>
        <w:spacing w:after="40"/>
      </w:pPr>
      <w:r>
        <w:t>Content partner – produces audio, translations and interpretation</w:t>
      </w:r>
    </w:p>
    <w:p>
      <w:pPr>
        <w:pStyle w:val="ListBullet"/>
        <w:spacing w:after="40"/>
      </w:pPr>
      <w:r>
        <w:t>Technology partner – integrates collection/CMS systems</w:t>
      </w:r>
    </w:p>
    <w:p>
      <w:pPr>
        <w:pStyle w:val="ListBullet"/>
        <w:spacing w:after="40"/>
      </w:pPr>
      <w:r>
        <w:t>Strategic partner – co-bids on public tenders</w:t>
      </w:r>
    </w:p>
    <w:p>
      <w:r>
        <w:t>As CMS and collection adapters expand, partnerships can become even more specific: MAG for Drupal, MAG for Omeka, MuseumPlus/TMS connectors, or co-selling with systems integrators already serving museums.</w:t>
      </w:r>
    </w:p>
    <w:p>
      <w:pPr>
        <w:spacing w:after="40"/>
      </w:pPr>
      <w:r>
        <w:rPr>
          <w:b/>
          <w:color w:val="B7893B"/>
          <w:sz w:val="17"/>
        </w:rPr>
        <w:t>13</w:t>
      </w:r>
    </w:p>
    <w:p>
      <w:pPr>
        <w:pStyle w:val="Heading1"/>
        <w:keepNext/>
      </w:pPr>
      <w:r>
        <w:t>Sales funnel and commercial motion</w:t>
      </w:r>
    </w:p>
    <w:p>
      <w:r>
        <w:t>The sales motion should be consultative and evidence-led. Large museums often need internal alignment before procurement, so the process should help the buyer build the business case internally.</w:t>
      </w:r>
    </w:p>
    <w:p>
      <w:pPr>
        <w:ind w:left="216"/>
      </w:pPr>
      <w:r>
        <w:rPr>
          <w:b w:val="0"/>
        </w:rPr>
        <w:t>1. Conference / referral / LinkedIn / article</w:t>
      </w:r>
    </w:p>
    <w:p>
      <w:pPr>
        <w:ind w:left="216"/>
      </w:pPr>
      <w:r>
        <w:rPr>
          <w:b w:val="0"/>
        </w:rPr>
        <w:t>2. Case study or benchmark report</w:t>
      </w:r>
    </w:p>
    <w:p>
      <w:pPr>
        <w:ind w:left="216"/>
      </w:pPr>
      <w:r>
        <w:rPr>
          <w:b w:val="0"/>
        </w:rPr>
        <w:t>3. Live Demo Museum</w:t>
      </w:r>
    </w:p>
    <w:p>
      <w:pPr>
        <w:ind w:left="216"/>
      </w:pPr>
      <w:r>
        <w:rPr>
          <w:b/>
        </w:rPr>
        <w:t>4. Digital Visitor Experience Audit</w:t>
      </w:r>
    </w:p>
    <w:p>
      <w:pPr>
        <w:ind w:left="216"/>
      </w:pPr>
      <w:r>
        <w:rPr>
          <w:b w:val="0"/>
        </w:rPr>
        <w:t>5. Solution architecture &amp; proposal</w:t>
      </w:r>
    </w:p>
    <w:p>
      <w:pPr>
        <w:ind w:left="216"/>
      </w:pPr>
      <w:r>
        <w:rPr>
          <w:b/>
        </w:rPr>
        <w:t>6. Paid pilot / implementation</w:t>
      </w:r>
    </w:p>
    <w:p>
      <w:pPr>
        <w:ind w:left="216"/>
      </w:pPr>
      <w:r>
        <w:rPr>
          <w:b/>
        </w:rPr>
        <w:t>7. 3-year institutional license</w:t>
      </w:r>
    </w:p>
    <w:p>
      <w:pPr>
        <w:ind w:left="216"/>
      </w:pPr>
      <w:r>
        <w:rPr>
          <w:b w:val="0"/>
        </w:rPr>
        <w:t>8. Expansion: AI, analytics, additional sites</w:t>
      </w:r>
    </w:p>
    <w:p>
      <w:pPr>
        <w:pStyle w:val="Heading2"/>
        <w:keepNext/>
      </w:pPr>
      <w:r>
        <w:t>Digital Visitor Experience Audit</w:t>
      </w:r>
    </w:p>
    <w:p>
      <w:r>
        <w:t>A paid audit can be used as a low-risk entry product for large institutions. It can evaluate the current website, collection system, maps, accessibility, language workflows, analytics and visitor journey, then produce an implementation roadmap.</w:t>
      </w:r>
    </w:p>
    <w:tbl>
      <w:tblPr>
        <w:tblW w:type="auto" w:w="0"/>
        <w:jc w:val="center"/>
        <w:tblLook w:firstColumn="1" w:firstRow="1" w:lastColumn="0" w:lastRow="0" w:noHBand="0" w:noVBand="1" w:val="04A0"/>
      </w:tblPr>
      <w:tblGrid>
        <w:gridCol w:w="10080"/>
      </w:tblGrid>
      <w:tr>
        <w:tc>
          <w:tcPr>
            <w:tcW w:type="dxa" w:w="10080"/>
            <w:shd w:fill="F6F0E6"/>
            <w:tcMar>
              <w:top w:w="120" w:type="dxa"/>
              <w:start w:w="180" w:type="dxa"/>
              <w:bottom w:w="120" w:type="dxa"/>
              <w:end w:w="180" w:type="dxa"/>
            </w:tcMar>
          </w:tcPr>
          <w:p>
            <w:pPr>
              <w:spacing w:after="80"/>
            </w:pPr>
            <w:r>
              <w:rPr>
                <w:b/>
                <w:color w:val="B7893B"/>
                <w:sz w:val="22"/>
              </w:rPr>
              <w:t>Possible commercial model</w:t>
            </w:r>
          </w:p>
          <w:p>
            <w:pPr>
              <w:spacing w:after="0" w:line="264" w:lineRule="auto"/>
            </w:pPr>
            <w:r>
              <w:t>Audit fee: approximately €3,000–€8,000 depending on complexity. If the museum proceeds with implementation, part or all of the fee can be credited against the project.</w:t>
            </w:r>
          </w:p>
        </w:tc>
      </w:tr>
    </w:tbl>
    <w:p>
      <w:pPr>
        <w:spacing w:after="0"/>
      </w:pPr>
    </w:p>
    <w:p>
      <w:pPr>
        <w:spacing w:after="40"/>
      </w:pPr>
      <w:r>
        <w:rPr>
          <w:b/>
          <w:color w:val="B7893B"/>
          <w:sz w:val="17"/>
        </w:rPr>
        <w:t>14</w:t>
      </w:r>
    </w:p>
    <w:p>
      <w:pPr>
        <w:pStyle w:val="Heading1"/>
        <w:keepNext/>
      </w:pPr>
      <w:r>
        <w:t>Six-month execution plan</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1728"/>
            <w:shd w:fill="17324D"/>
            <w:vAlign w:val="center"/>
            <w:tcMar>
              <w:top w:w="100" w:type="dxa"/>
              <w:start w:w="120" w:type="dxa"/>
              <w:bottom w:w="100" w:type="dxa"/>
              <w:end w:w="120" w:type="dxa"/>
            </w:tcMar>
          </w:tcPr>
          <w:p>
            <w:pPr>
              <w:jc w:val="center"/>
            </w:pPr>
            <w:r>
              <w:rPr>
                <w:b/>
                <w:color w:val="FFFFFF"/>
                <w:sz w:val="19"/>
              </w:rPr>
              <w:t>Period</w:t>
            </w:r>
          </w:p>
        </w:tc>
        <w:tc>
          <w:tcPr>
            <w:tcW w:type="dxa" w:w="2592"/>
            <w:shd w:fill="17324D"/>
            <w:vAlign w:val="center"/>
            <w:tcMar>
              <w:top w:w="100" w:type="dxa"/>
              <w:start w:w="120" w:type="dxa"/>
              <w:bottom w:w="100" w:type="dxa"/>
              <w:end w:w="120" w:type="dxa"/>
            </w:tcMar>
          </w:tcPr>
          <w:p>
            <w:pPr>
              <w:jc w:val="center"/>
            </w:pPr>
            <w:r>
              <w:rPr>
                <w:b/>
                <w:color w:val="FFFFFF"/>
                <w:sz w:val="19"/>
              </w:rPr>
              <w:t>Priority</w:t>
            </w:r>
          </w:p>
        </w:tc>
        <w:tc>
          <w:tcPr>
            <w:tcW w:type="dxa" w:w="5616"/>
            <w:shd w:fill="17324D"/>
            <w:vAlign w:val="center"/>
            <w:tcMar>
              <w:top w:w="100" w:type="dxa"/>
              <w:start w:w="120" w:type="dxa"/>
              <w:bottom w:w="100" w:type="dxa"/>
              <w:end w:w="120" w:type="dxa"/>
            </w:tcMar>
          </w:tcPr>
          <w:p>
            <w:pPr>
              <w:jc w:val="center"/>
            </w:pPr>
            <w:r>
              <w:rPr>
                <w:b/>
                <w:color w:val="FFFFFF"/>
                <w:sz w:val="19"/>
              </w:rPr>
              <w:t>Deliverables</w:t>
            </w:r>
          </w:p>
        </w:tc>
      </w:tr>
      <w:tr>
        <w:trPr>
          <w:cantSplit/>
        </w:trPr>
        <w:tc>
          <w:tcPr>
            <w:tcW w:type="dxa" w:w="1728"/>
            <w:vAlign w:val="center"/>
            <w:tcMar>
              <w:top w:w="100" w:type="dxa"/>
              <w:start w:w="120" w:type="dxa"/>
              <w:bottom w:w="100" w:type="dxa"/>
              <w:end w:w="120" w:type="dxa"/>
            </w:tcMar>
          </w:tcPr>
          <w:p>
            <w:pPr>
              <w:spacing w:after="0"/>
            </w:pPr>
            <w:r>
              <w:rPr>
                <w:sz w:val="18"/>
              </w:rPr>
              <w:t>Month 1</w:t>
            </w:r>
          </w:p>
        </w:tc>
        <w:tc>
          <w:tcPr>
            <w:tcW w:type="dxa" w:w="2592"/>
            <w:vAlign w:val="center"/>
            <w:tcMar>
              <w:top w:w="100" w:type="dxa"/>
              <w:start w:w="120" w:type="dxa"/>
              <w:bottom w:w="100" w:type="dxa"/>
              <w:end w:w="120" w:type="dxa"/>
            </w:tcMar>
          </w:tcPr>
          <w:p>
            <w:pPr>
              <w:spacing w:after="0"/>
            </w:pPr>
            <w:r>
              <w:rPr>
                <w:sz w:val="18"/>
              </w:rPr>
              <w:t>Pilot readiness</w:t>
            </w:r>
          </w:p>
        </w:tc>
        <w:tc>
          <w:tcPr>
            <w:tcW w:type="dxa" w:w="5616"/>
            <w:vAlign w:val="center"/>
            <w:tcMar>
              <w:top w:w="100" w:type="dxa"/>
              <w:start w:w="120" w:type="dxa"/>
              <w:bottom w:w="100" w:type="dxa"/>
              <w:end w:w="120" w:type="dxa"/>
            </w:tcMar>
          </w:tcPr>
          <w:p>
            <w:pPr>
              <w:spacing w:after="0"/>
            </w:pPr>
            <w:r>
              <w:rPr>
                <w:sz w:val="18"/>
              </w:rPr>
              <w:t>Stable pilot release, analytics plan, pilot agreement template, reference rights</w:t>
            </w:r>
          </w:p>
        </w:tc>
      </w:tr>
      <w:tr>
        <w:trPr>
          <w:cantSplit/>
        </w:trPr>
        <w:tc>
          <w:tcPr>
            <w:tcW w:type="dxa" w:w="1728"/>
            <w:vAlign w:val="center"/>
            <w:tcMar>
              <w:top w:w="100" w:type="dxa"/>
              <w:start w:w="120" w:type="dxa"/>
              <w:bottom w:w="100" w:type="dxa"/>
              <w:end w:w="120" w:type="dxa"/>
            </w:tcMar>
          </w:tcPr>
          <w:p>
            <w:pPr>
              <w:spacing w:after="0"/>
            </w:pPr>
            <w:r>
              <w:rPr>
                <w:sz w:val="18"/>
              </w:rPr>
              <w:t>Month 2</w:t>
            </w:r>
          </w:p>
        </w:tc>
        <w:tc>
          <w:tcPr>
            <w:tcW w:type="dxa" w:w="2592"/>
            <w:vAlign w:val="center"/>
            <w:tcMar>
              <w:top w:w="100" w:type="dxa"/>
              <w:start w:w="120" w:type="dxa"/>
              <w:bottom w:w="100" w:type="dxa"/>
              <w:end w:w="120" w:type="dxa"/>
            </w:tcMar>
          </w:tcPr>
          <w:p>
            <w:pPr>
              <w:spacing w:after="0"/>
            </w:pPr>
            <w:r>
              <w:rPr>
                <w:sz w:val="18"/>
              </w:rPr>
              <w:t>Founding museums</w:t>
            </w:r>
          </w:p>
        </w:tc>
        <w:tc>
          <w:tcPr>
            <w:tcW w:type="dxa" w:w="5616"/>
            <w:vAlign w:val="center"/>
            <w:tcMar>
              <w:top w:w="100" w:type="dxa"/>
              <w:start w:w="120" w:type="dxa"/>
              <w:bottom w:w="100" w:type="dxa"/>
              <w:end w:w="120" w:type="dxa"/>
            </w:tcMar>
          </w:tcPr>
          <w:p>
            <w:pPr>
              <w:spacing w:after="0"/>
            </w:pPr>
            <w:r>
              <w:rPr>
                <w:sz w:val="18"/>
              </w:rPr>
              <w:t>Secure 2–3 institutions, configure baseline deployments, define KPI baselines</w:t>
            </w:r>
          </w:p>
        </w:tc>
      </w:tr>
      <w:tr>
        <w:trPr>
          <w:cantSplit/>
        </w:trPr>
        <w:tc>
          <w:tcPr>
            <w:tcW w:type="dxa" w:w="1728"/>
            <w:vAlign w:val="center"/>
            <w:tcMar>
              <w:top w:w="100" w:type="dxa"/>
              <w:start w:w="120" w:type="dxa"/>
              <w:bottom w:w="100" w:type="dxa"/>
              <w:end w:w="120" w:type="dxa"/>
            </w:tcMar>
          </w:tcPr>
          <w:p>
            <w:pPr>
              <w:spacing w:after="0"/>
            </w:pPr>
            <w:r>
              <w:rPr>
                <w:sz w:val="18"/>
              </w:rPr>
              <w:t>Month 3</w:t>
            </w:r>
          </w:p>
        </w:tc>
        <w:tc>
          <w:tcPr>
            <w:tcW w:type="dxa" w:w="2592"/>
            <w:vAlign w:val="center"/>
            <w:tcMar>
              <w:top w:w="100" w:type="dxa"/>
              <w:start w:w="120" w:type="dxa"/>
              <w:bottom w:w="100" w:type="dxa"/>
              <w:end w:w="120" w:type="dxa"/>
            </w:tcMar>
          </w:tcPr>
          <w:p>
            <w:pPr>
              <w:spacing w:after="0"/>
            </w:pPr>
            <w:r>
              <w:rPr>
                <w:sz w:val="18"/>
              </w:rPr>
              <w:t>Website &amp; demo</w:t>
            </w:r>
          </w:p>
        </w:tc>
        <w:tc>
          <w:tcPr>
            <w:tcW w:type="dxa" w:w="5616"/>
            <w:vAlign w:val="center"/>
            <w:tcMar>
              <w:top w:w="100" w:type="dxa"/>
              <w:start w:w="120" w:type="dxa"/>
              <w:bottom w:w="100" w:type="dxa"/>
              <w:end w:w="120" w:type="dxa"/>
            </w:tcMar>
          </w:tcPr>
          <w:p>
            <w:pPr>
              <w:spacing w:after="0"/>
            </w:pPr>
            <w:r>
              <w:rPr>
                <w:sz w:val="18"/>
              </w:rPr>
              <w:t>Launch English MAG site, Demo Museum, procurement section, technical overview</w:t>
            </w:r>
          </w:p>
        </w:tc>
      </w:tr>
      <w:tr>
        <w:trPr>
          <w:cantSplit/>
        </w:trPr>
        <w:tc>
          <w:tcPr>
            <w:tcW w:type="dxa" w:w="1728"/>
            <w:vAlign w:val="center"/>
            <w:tcMar>
              <w:top w:w="100" w:type="dxa"/>
              <w:start w:w="120" w:type="dxa"/>
              <w:bottom w:w="100" w:type="dxa"/>
              <w:end w:w="120" w:type="dxa"/>
            </w:tcMar>
          </w:tcPr>
          <w:p>
            <w:pPr>
              <w:spacing w:after="0"/>
            </w:pPr>
            <w:r>
              <w:rPr>
                <w:sz w:val="18"/>
              </w:rPr>
              <w:t>Month 4</w:t>
            </w:r>
          </w:p>
        </w:tc>
        <w:tc>
          <w:tcPr>
            <w:tcW w:type="dxa" w:w="2592"/>
            <w:vAlign w:val="center"/>
            <w:tcMar>
              <w:top w:w="100" w:type="dxa"/>
              <w:start w:w="120" w:type="dxa"/>
              <w:bottom w:w="100" w:type="dxa"/>
              <w:end w:w="120" w:type="dxa"/>
            </w:tcMar>
          </w:tcPr>
          <w:p>
            <w:pPr>
              <w:spacing w:after="0"/>
            </w:pPr>
            <w:r>
              <w:rPr>
                <w:sz w:val="18"/>
              </w:rPr>
              <w:t>Evidence</w:t>
            </w:r>
          </w:p>
        </w:tc>
        <w:tc>
          <w:tcPr>
            <w:tcW w:type="dxa" w:w="5616"/>
            <w:vAlign w:val="center"/>
            <w:tcMar>
              <w:top w:w="100" w:type="dxa"/>
              <w:start w:w="120" w:type="dxa"/>
              <w:bottom w:w="100" w:type="dxa"/>
              <w:end w:w="120" w:type="dxa"/>
            </w:tcMar>
          </w:tcPr>
          <w:p>
            <w:pPr>
              <w:spacing w:after="0"/>
            </w:pPr>
            <w:r>
              <w:rPr>
                <w:sz w:val="18"/>
              </w:rPr>
              <w:t>First analytics snapshots, interviews, photography, early case-study drafts</w:t>
            </w:r>
          </w:p>
        </w:tc>
      </w:tr>
      <w:tr>
        <w:trPr>
          <w:cantSplit/>
        </w:trPr>
        <w:tc>
          <w:tcPr>
            <w:tcW w:type="dxa" w:w="1728"/>
            <w:vAlign w:val="center"/>
            <w:tcMar>
              <w:top w:w="100" w:type="dxa"/>
              <w:start w:w="120" w:type="dxa"/>
              <w:bottom w:w="100" w:type="dxa"/>
              <w:end w:w="120" w:type="dxa"/>
            </w:tcMar>
          </w:tcPr>
          <w:p>
            <w:pPr>
              <w:spacing w:after="0"/>
            </w:pPr>
            <w:r>
              <w:rPr>
                <w:sz w:val="18"/>
              </w:rPr>
              <w:t>Month 5</w:t>
            </w:r>
          </w:p>
        </w:tc>
        <w:tc>
          <w:tcPr>
            <w:tcW w:type="dxa" w:w="2592"/>
            <w:vAlign w:val="center"/>
            <w:tcMar>
              <w:top w:w="100" w:type="dxa"/>
              <w:start w:w="120" w:type="dxa"/>
              <w:bottom w:w="100" w:type="dxa"/>
              <w:end w:w="120" w:type="dxa"/>
            </w:tcMar>
          </w:tcPr>
          <w:p>
            <w:pPr>
              <w:spacing w:after="0"/>
            </w:pPr>
            <w:r>
              <w:rPr>
                <w:sz w:val="18"/>
              </w:rPr>
              <w:t>Authority</w:t>
            </w:r>
          </w:p>
        </w:tc>
        <w:tc>
          <w:tcPr>
            <w:tcW w:type="dxa" w:w="5616"/>
            <w:vAlign w:val="center"/>
            <w:tcMar>
              <w:top w:w="100" w:type="dxa"/>
              <w:start w:w="120" w:type="dxa"/>
              <w:bottom w:w="100" w:type="dxa"/>
              <w:end w:w="120" w:type="dxa"/>
            </w:tcMar>
          </w:tcPr>
          <w:p>
            <w:pPr>
              <w:spacing w:after="0"/>
            </w:pPr>
            <w:r>
              <w:rPr>
                <w:sz w:val="18"/>
              </w:rPr>
              <w:t>Publish first case study, begin LinkedIn editorial cadence, submit conference proposals</w:t>
            </w:r>
          </w:p>
        </w:tc>
      </w:tr>
      <w:tr>
        <w:trPr>
          <w:cantSplit/>
        </w:trPr>
        <w:tc>
          <w:tcPr>
            <w:tcW w:type="dxa" w:w="1728"/>
            <w:vAlign w:val="center"/>
            <w:tcMar>
              <w:top w:w="100" w:type="dxa"/>
              <w:start w:w="120" w:type="dxa"/>
              <w:bottom w:w="100" w:type="dxa"/>
              <w:end w:w="120" w:type="dxa"/>
            </w:tcMar>
          </w:tcPr>
          <w:p>
            <w:pPr>
              <w:spacing w:after="0"/>
            </w:pPr>
            <w:r>
              <w:rPr>
                <w:sz w:val="18"/>
              </w:rPr>
              <w:t>Month 6</w:t>
            </w:r>
          </w:p>
        </w:tc>
        <w:tc>
          <w:tcPr>
            <w:tcW w:type="dxa" w:w="2592"/>
            <w:vAlign w:val="center"/>
            <w:tcMar>
              <w:top w:w="100" w:type="dxa"/>
              <w:start w:w="120" w:type="dxa"/>
              <w:bottom w:w="100" w:type="dxa"/>
              <w:end w:w="120" w:type="dxa"/>
            </w:tcMar>
          </w:tcPr>
          <w:p>
            <w:pPr>
              <w:spacing w:after="0"/>
            </w:pPr>
            <w:r>
              <w:rPr>
                <w:sz w:val="18"/>
              </w:rPr>
              <w:t>International pipeline</w:t>
            </w:r>
          </w:p>
        </w:tc>
        <w:tc>
          <w:tcPr>
            <w:tcW w:type="dxa" w:w="5616"/>
            <w:vAlign w:val="center"/>
            <w:tcMar>
              <w:top w:w="100" w:type="dxa"/>
              <w:start w:w="120" w:type="dxa"/>
              <w:bottom w:w="100" w:type="dxa"/>
              <w:end w:w="120" w:type="dxa"/>
            </w:tcMar>
          </w:tcPr>
          <w:p>
            <w:pPr>
              <w:spacing w:after="0"/>
            </w:pPr>
            <w:r>
              <w:rPr>
                <w:sz w:val="18"/>
              </w:rPr>
              <w:t>Second case study, partner outreach, targeted EU museum sales, webinar or conference session</w:t>
            </w:r>
          </w:p>
        </w:tc>
      </w:tr>
    </w:tbl>
    <w:p>
      <w:pPr>
        <w:spacing w:after="40"/>
      </w:pPr>
      <w:r>
        <w:rPr>
          <w:b/>
          <w:color w:val="B7893B"/>
          <w:sz w:val="17"/>
        </w:rPr>
        <w:t>15</w:t>
      </w:r>
    </w:p>
    <w:p>
      <w:pPr>
        <w:pStyle w:val="Heading1"/>
        <w:keepNext/>
      </w:pPr>
      <w:r>
        <w:t>Twelve-month objectives and KPIs</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3168"/>
            <w:shd w:fill="17324D"/>
            <w:vAlign w:val="center"/>
            <w:tcMar>
              <w:top w:w="100" w:type="dxa"/>
              <w:start w:w="120" w:type="dxa"/>
              <w:bottom w:w="100" w:type="dxa"/>
              <w:end w:w="120" w:type="dxa"/>
            </w:tcMar>
          </w:tcPr>
          <w:p>
            <w:pPr>
              <w:jc w:val="center"/>
            </w:pPr>
            <w:r>
              <w:rPr>
                <w:b/>
                <w:color w:val="FFFFFF"/>
                <w:sz w:val="19"/>
              </w:rPr>
              <w:t>Objective</w:t>
            </w:r>
          </w:p>
        </w:tc>
        <w:tc>
          <w:tcPr>
            <w:tcW w:type="dxa" w:w="2448"/>
            <w:shd w:fill="17324D"/>
            <w:vAlign w:val="center"/>
            <w:tcMar>
              <w:top w:w="100" w:type="dxa"/>
              <w:start w:w="120" w:type="dxa"/>
              <w:bottom w:w="100" w:type="dxa"/>
              <w:end w:w="120" w:type="dxa"/>
            </w:tcMar>
          </w:tcPr>
          <w:p>
            <w:pPr>
              <w:jc w:val="center"/>
            </w:pPr>
            <w:r>
              <w:rPr>
                <w:b/>
                <w:color w:val="FFFFFF"/>
                <w:sz w:val="19"/>
              </w:rPr>
              <w:t>Suggested target</w:t>
            </w:r>
          </w:p>
        </w:tc>
        <w:tc>
          <w:tcPr>
            <w:tcW w:type="dxa" w:w="4320"/>
            <w:shd w:fill="17324D"/>
            <w:vAlign w:val="center"/>
            <w:tcMar>
              <w:top w:w="100" w:type="dxa"/>
              <w:start w:w="120" w:type="dxa"/>
              <w:bottom w:w="100" w:type="dxa"/>
              <w:end w:w="120" w:type="dxa"/>
            </w:tcMar>
          </w:tcPr>
          <w:p>
            <w:pPr>
              <w:jc w:val="center"/>
            </w:pPr>
            <w:r>
              <w:rPr>
                <w:b/>
                <w:color w:val="FFFFFF"/>
                <w:sz w:val="19"/>
              </w:rPr>
              <w:t>Reason</w:t>
            </w:r>
          </w:p>
        </w:tc>
      </w:tr>
      <w:tr>
        <w:trPr>
          <w:cantSplit/>
        </w:trPr>
        <w:tc>
          <w:tcPr>
            <w:tcW w:type="dxa" w:w="3168"/>
            <w:vAlign w:val="center"/>
            <w:tcMar>
              <w:top w:w="100" w:type="dxa"/>
              <w:start w:w="120" w:type="dxa"/>
              <w:bottom w:w="100" w:type="dxa"/>
              <w:end w:w="120" w:type="dxa"/>
            </w:tcMar>
          </w:tcPr>
          <w:p>
            <w:pPr>
              <w:spacing w:after="0"/>
            </w:pPr>
            <w:r>
              <w:rPr>
                <w:sz w:val="18"/>
              </w:rPr>
              <w:t>Founding museum deployments</w:t>
            </w:r>
          </w:p>
        </w:tc>
        <w:tc>
          <w:tcPr>
            <w:tcW w:type="dxa" w:w="2448"/>
            <w:vAlign w:val="center"/>
            <w:tcMar>
              <w:top w:w="100" w:type="dxa"/>
              <w:start w:w="120" w:type="dxa"/>
              <w:bottom w:w="100" w:type="dxa"/>
              <w:end w:w="120" w:type="dxa"/>
            </w:tcMar>
          </w:tcPr>
          <w:p>
            <w:pPr>
              <w:spacing w:after="0"/>
            </w:pPr>
            <w:r>
              <w:rPr>
                <w:sz w:val="18"/>
              </w:rPr>
              <w:t>3–5</w:t>
            </w:r>
          </w:p>
        </w:tc>
        <w:tc>
          <w:tcPr>
            <w:tcW w:type="dxa" w:w="4320"/>
            <w:vAlign w:val="center"/>
            <w:tcMar>
              <w:top w:w="100" w:type="dxa"/>
              <w:start w:w="120" w:type="dxa"/>
              <w:bottom w:w="100" w:type="dxa"/>
              <w:end w:w="120" w:type="dxa"/>
            </w:tcMar>
          </w:tcPr>
          <w:p>
            <w:pPr>
              <w:spacing w:after="0"/>
            </w:pPr>
            <w:r>
              <w:rPr>
                <w:sz w:val="18"/>
              </w:rPr>
              <w:t>Enough variation for credible proof</w:t>
            </w:r>
          </w:p>
        </w:tc>
      </w:tr>
      <w:tr>
        <w:trPr>
          <w:cantSplit/>
        </w:trPr>
        <w:tc>
          <w:tcPr>
            <w:tcW w:type="dxa" w:w="3168"/>
            <w:vAlign w:val="center"/>
            <w:tcMar>
              <w:top w:w="100" w:type="dxa"/>
              <w:start w:w="120" w:type="dxa"/>
              <w:bottom w:w="100" w:type="dxa"/>
              <w:end w:w="120" w:type="dxa"/>
            </w:tcMar>
          </w:tcPr>
          <w:p>
            <w:pPr>
              <w:spacing w:after="0"/>
            </w:pPr>
            <w:r>
              <w:rPr>
                <w:sz w:val="18"/>
              </w:rPr>
              <w:t>Published case studies</w:t>
            </w:r>
          </w:p>
        </w:tc>
        <w:tc>
          <w:tcPr>
            <w:tcW w:type="dxa" w:w="2448"/>
            <w:vAlign w:val="center"/>
            <w:tcMar>
              <w:top w:w="100" w:type="dxa"/>
              <w:start w:w="120" w:type="dxa"/>
              <w:bottom w:w="100" w:type="dxa"/>
              <w:end w:w="120" w:type="dxa"/>
            </w:tcMar>
          </w:tcPr>
          <w:p>
            <w:pPr>
              <w:spacing w:after="0"/>
            </w:pPr>
            <w:r>
              <w:rPr>
                <w:sz w:val="18"/>
              </w:rPr>
              <w:t>2–3</w:t>
            </w:r>
          </w:p>
        </w:tc>
        <w:tc>
          <w:tcPr>
            <w:tcW w:type="dxa" w:w="4320"/>
            <w:vAlign w:val="center"/>
            <w:tcMar>
              <w:top w:w="100" w:type="dxa"/>
              <w:start w:w="120" w:type="dxa"/>
              <w:bottom w:w="100" w:type="dxa"/>
              <w:end w:w="120" w:type="dxa"/>
            </w:tcMar>
          </w:tcPr>
          <w:p>
            <w:pPr>
              <w:spacing w:after="0"/>
            </w:pPr>
            <w:r>
              <w:rPr>
                <w:sz w:val="18"/>
              </w:rPr>
              <w:t>Core sales collateral</w:t>
            </w:r>
          </w:p>
        </w:tc>
      </w:tr>
      <w:tr>
        <w:trPr>
          <w:cantSplit/>
        </w:trPr>
        <w:tc>
          <w:tcPr>
            <w:tcW w:type="dxa" w:w="3168"/>
            <w:vAlign w:val="center"/>
            <w:tcMar>
              <w:top w:w="100" w:type="dxa"/>
              <w:start w:w="120" w:type="dxa"/>
              <w:bottom w:w="100" w:type="dxa"/>
              <w:end w:w="120" w:type="dxa"/>
            </w:tcMar>
          </w:tcPr>
          <w:p>
            <w:pPr>
              <w:spacing w:after="0"/>
            </w:pPr>
            <w:r>
              <w:rPr>
                <w:sz w:val="18"/>
              </w:rPr>
              <w:t>Live demo environment</w:t>
            </w:r>
          </w:p>
        </w:tc>
        <w:tc>
          <w:tcPr>
            <w:tcW w:type="dxa" w:w="2448"/>
            <w:vAlign w:val="center"/>
            <w:tcMar>
              <w:top w:w="100" w:type="dxa"/>
              <w:start w:w="120" w:type="dxa"/>
              <w:bottom w:w="100" w:type="dxa"/>
              <w:end w:w="120" w:type="dxa"/>
            </w:tcMar>
          </w:tcPr>
          <w:p>
            <w:pPr>
              <w:spacing w:after="0"/>
            </w:pPr>
            <w:r>
              <w:rPr>
                <w:sz w:val="18"/>
              </w:rPr>
              <w:t>1 polished demo</w:t>
            </w:r>
          </w:p>
        </w:tc>
        <w:tc>
          <w:tcPr>
            <w:tcW w:type="dxa" w:w="4320"/>
            <w:vAlign w:val="center"/>
            <w:tcMar>
              <w:top w:w="100" w:type="dxa"/>
              <w:start w:w="120" w:type="dxa"/>
              <w:bottom w:w="100" w:type="dxa"/>
              <w:end w:w="120" w:type="dxa"/>
            </w:tcMar>
          </w:tcPr>
          <w:p>
            <w:pPr>
              <w:spacing w:after="0"/>
            </w:pPr>
            <w:r>
              <w:rPr>
                <w:sz w:val="18"/>
              </w:rPr>
              <w:t>Frictionless product understanding</w:t>
            </w:r>
          </w:p>
        </w:tc>
      </w:tr>
      <w:tr>
        <w:trPr>
          <w:cantSplit/>
        </w:trPr>
        <w:tc>
          <w:tcPr>
            <w:tcW w:type="dxa" w:w="3168"/>
            <w:vAlign w:val="center"/>
            <w:tcMar>
              <w:top w:w="100" w:type="dxa"/>
              <w:start w:w="120" w:type="dxa"/>
              <w:bottom w:w="100" w:type="dxa"/>
              <w:end w:w="120" w:type="dxa"/>
            </w:tcMar>
          </w:tcPr>
          <w:p>
            <w:pPr>
              <w:spacing w:after="0"/>
            </w:pPr>
            <w:r>
              <w:rPr>
                <w:sz w:val="18"/>
              </w:rPr>
              <w:t>Qualified international opportunities</w:t>
            </w:r>
          </w:p>
        </w:tc>
        <w:tc>
          <w:tcPr>
            <w:tcW w:type="dxa" w:w="2448"/>
            <w:vAlign w:val="center"/>
            <w:tcMar>
              <w:top w:w="100" w:type="dxa"/>
              <w:start w:w="120" w:type="dxa"/>
              <w:bottom w:w="100" w:type="dxa"/>
              <w:end w:w="120" w:type="dxa"/>
            </w:tcMar>
          </w:tcPr>
          <w:p>
            <w:pPr>
              <w:spacing w:after="0"/>
            </w:pPr>
            <w:r>
              <w:rPr>
                <w:sz w:val="18"/>
              </w:rPr>
              <w:t>10–20</w:t>
            </w:r>
          </w:p>
        </w:tc>
        <w:tc>
          <w:tcPr>
            <w:tcW w:type="dxa" w:w="4320"/>
            <w:vAlign w:val="center"/>
            <w:tcMar>
              <w:top w:w="100" w:type="dxa"/>
              <w:start w:w="120" w:type="dxa"/>
              <w:bottom w:w="100" w:type="dxa"/>
              <w:end w:w="120" w:type="dxa"/>
            </w:tcMar>
          </w:tcPr>
          <w:p>
            <w:pPr>
              <w:spacing w:after="0"/>
            </w:pPr>
            <w:r>
              <w:rPr>
                <w:sz w:val="18"/>
              </w:rPr>
              <w:t>Tests buyer fit and pricing</w:t>
            </w:r>
          </w:p>
        </w:tc>
      </w:tr>
      <w:tr>
        <w:trPr>
          <w:cantSplit/>
        </w:trPr>
        <w:tc>
          <w:tcPr>
            <w:tcW w:type="dxa" w:w="3168"/>
            <w:vAlign w:val="center"/>
            <w:tcMar>
              <w:top w:w="100" w:type="dxa"/>
              <w:start w:w="120" w:type="dxa"/>
              <w:bottom w:w="100" w:type="dxa"/>
              <w:end w:w="120" w:type="dxa"/>
            </w:tcMar>
          </w:tcPr>
          <w:p>
            <w:pPr>
              <w:spacing w:after="0"/>
            </w:pPr>
            <w:r>
              <w:rPr>
                <w:sz w:val="18"/>
              </w:rPr>
              <w:t>Strategic partners</w:t>
            </w:r>
          </w:p>
        </w:tc>
        <w:tc>
          <w:tcPr>
            <w:tcW w:type="dxa" w:w="2448"/>
            <w:vAlign w:val="center"/>
            <w:tcMar>
              <w:top w:w="100" w:type="dxa"/>
              <w:start w:w="120" w:type="dxa"/>
              <w:bottom w:w="100" w:type="dxa"/>
              <w:end w:w="120" w:type="dxa"/>
            </w:tcMar>
          </w:tcPr>
          <w:p>
            <w:pPr>
              <w:spacing w:after="0"/>
            </w:pPr>
            <w:r>
              <w:rPr>
                <w:sz w:val="18"/>
              </w:rPr>
              <w:t>3–5</w:t>
            </w:r>
          </w:p>
        </w:tc>
        <w:tc>
          <w:tcPr>
            <w:tcW w:type="dxa" w:w="4320"/>
            <w:vAlign w:val="center"/>
            <w:tcMar>
              <w:top w:w="100" w:type="dxa"/>
              <w:start w:w="120" w:type="dxa"/>
              <w:bottom w:w="100" w:type="dxa"/>
              <w:end w:w="120" w:type="dxa"/>
            </w:tcMar>
          </w:tcPr>
          <w:p>
            <w:pPr>
              <w:spacing w:after="0"/>
            </w:pPr>
            <w:r>
              <w:rPr>
                <w:sz w:val="18"/>
              </w:rPr>
              <w:t>Creates scalable channel reach</w:t>
            </w:r>
          </w:p>
        </w:tc>
      </w:tr>
      <w:tr>
        <w:trPr>
          <w:cantSplit/>
        </w:trPr>
        <w:tc>
          <w:tcPr>
            <w:tcW w:type="dxa" w:w="3168"/>
            <w:vAlign w:val="center"/>
            <w:tcMar>
              <w:top w:w="100" w:type="dxa"/>
              <w:start w:w="120" w:type="dxa"/>
              <w:bottom w:w="100" w:type="dxa"/>
              <w:end w:w="120" w:type="dxa"/>
            </w:tcMar>
          </w:tcPr>
          <w:p>
            <w:pPr>
              <w:spacing w:after="0"/>
            </w:pPr>
            <w:r>
              <w:rPr>
                <w:sz w:val="18"/>
              </w:rPr>
              <w:t>Conference / webinar appearances</w:t>
            </w:r>
          </w:p>
        </w:tc>
        <w:tc>
          <w:tcPr>
            <w:tcW w:type="dxa" w:w="2448"/>
            <w:vAlign w:val="center"/>
            <w:tcMar>
              <w:top w:w="100" w:type="dxa"/>
              <w:start w:w="120" w:type="dxa"/>
              <w:bottom w:w="100" w:type="dxa"/>
              <w:end w:w="120" w:type="dxa"/>
            </w:tcMar>
          </w:tcPr>
          <w:p>
            <w:pPr>
              <w:spacing w:after="0"/>
            </w:pPr>
            <w:r>
              <w:rPr>
                <w:sz w:val="18"/>
              </w:rPr>
              <w:t>2–4</w:t>
            </w:r>
          </w:p>
        </w:tc>
        <w:tc>
          <w:tcPr>
            <w:tcW w:type="dxa" w:w="4320"/>
            <w:vAlign w:val="center"/>
            <w:tcMar>
              <w:top w:w="100" w:type="dxa"/>
              <w:start w:w="120" w:type="dxa"/>
              <w:bottom w:w="100" w:type="dxa"/>
              <w:end w:w="120" w:type="dxa"/>
            </w:tcMar>
          </w:tcPr>
          <w:p>
            <w:pPr>
              <w:spacing w:after="0"/>
            </w:pPr>
            <w:r>
              <w:rPr>
                <w:sz w:val="18"/>
              </w:rPr>
              <w:t>Authority and lead generation</w:t>
            </w:r>
          </w:p>
        </w:tc>
      </w:tr>
      <w:tr>
        <w:trPr>
          <w:cantSplit/>
        </w:trPr>
        <w:tc>
          <w:tcPr>
            <w:tcW w:type="dxa" w:w="3168"/>
            <w:vAlign w:val="center"/>
            <w:tcMar>
              <w:top w:w="100" w:type="dxa"/>
              <w:start w:w="120" w:type="dxa"/>
              <w:bottom w:w="100" w:type="dxa"/>
              <w:end w:w="120" w:type="dxa"/>
            </w:tcMar>
          </w:tcPr>
          <w:p>
            <w:pPr>
              <w:spacing w:after="0"/>
            </w:pPr>
            <w:r>
              <w:rPr>
                <w:sz w:val="18"/>
              </w:rPr>
              <w:t>Procurement documentation set</w:t>
            </w:r>
          </w:p>
        </w:tc>
        <w:tc>
          <w:tcPr>
            <w:tcW w:type="dxa" w:w="2448"/>
            <w:vAlign w:val="center"/>
            <w:tcMar>
              <w:top w:w="100" w:type="dxa"/>
              <w:start w:w="120" w:type="dxa"/>
              <w:bottom w:w="100" w:type="dxa"/>
              <w:end w:w="120" w:type="dxa"/>
            </w:tcMar>
          </w:tcPr>
          <w:p>
            <w:pPr>
              <w:spacing w:after="0"/>
            </w:pPr>
            <w:r>
              <w:rPr>
                <w:sz w:val="18"/>
              </w:rPr>
              <w:t>Complete</w:t>
            </w:r>
          </w:p>
        </w:tc>
        <w:tc>
          <w:tcPr>
            <w:tcW w:type="dxa" w:w="4320"/>
            <w:vAlign w:val="center"/>
            <w:tcMar>
              <w:top w:w="100" w:type="dxa"/>
              <w:start w:w="120" w:type="dxa"/>
              <w:bottom w:w="100" w:type="dxa"/>
              <w:end w:w="120" w:type="dxa"/>
            </w:tcMar>
          </w:tcPr>
          <w:p>
            <w:pPr>
              <w:spacing w:after="0"/>
            </w:pPr>
            <w:r>
              <w:rPr>
                <w:sz w:val="18"/>
              </w:rPr>
              <w:t>Removes enterprise buying friction</w:t>
            </w:r>
          </w:p>
        </w:tc>
      </w:tr>
      <w:tr>
        <w:trPr>
          <w:cantSplit/>
        </w:trPr>
        <w:tc>
          <w:tcPr>
            <w:tcW w:type="dxa" w:w="3168"/>
            <w:vAlign w:val="center"/>
            <w:tcMar>
              <w:top w:w="100" w:type="dxa"/>
              <w:start w:w="120" w:type="dxa"/>
              <w:bottom w:w="100" w:type="dxa"/>
              <w:end w:w="120" w:type="dxa"/>
            </w:tcMar>
          </w:tcPr>
          <w:p>
            <w:pPr>
              <w:spacing w:after="0"/>
            </w:pPr>
            <w:r>
              <w:rPr>
                <w:sz w:val="18"/>
              </w:rPr>
              <w:t>Benchmark / insight report</w:t>
            </w:r>
          </w:p>
        </w:tc>
        <w:tc>
          <w:tcPr>
            <w:tcW w:type="dxa" w:w="2448"/>
            <w:vAlign w:val="center"/>
            <w:tcMar>
              <w:top w:w="100" w:type="dxa"/>
              <w:start w:w="120" w:type="dxa"/>
              <w:bottom w:w="100" w:type="dxa"/>
              <w:end w:w="120" w:type="dxa"/>
            </w:tcMar>
          </w:tcPr>
          <w:p>
            <w:pPr>
              <w:spacing w:after="0"/>
            </w:pPr>
            <w:r>
              <w:rPr>
                <w:sz w:val="18"/>
              </w:rPr>
              <w:t>1</w:t>
            </w:r>
          </w:p>
        </w:tc>
        <w:tc>
          <w:tcPr>
            <w:tcW w:type="dxa" w:w="4320"/>
            <w:vAlign w:val="center"/>
            <w:tcMar>
              <w:top w:w="100" w:type="dxa"/>
              <w:start w:w="120" w:type="dxa"/>
              <w:bottom w:w="100" w:type="dxa"/>
              <w:end w:w="120" w:type="dxa"/>
            </w:tcMar>
          </w:tcPr>
          <w:p>
            <w:pPr>
              <w:spacing w:after="0"/>
            </w:pPr>
            <w:r>
              <w:rPr>
                <w:sz w:val="18"/>
              </w:rPr>
              <w:t>Thought leadership and inbound demand</w:t>
            </w:r>
          </w:p>
        </w:tc>
      </w:tr>
    </w:tbl>
    <w:p>
      <w:r>
        <w:t>Commercial targets should remain secondary until the first case studies establish what adoption, implementation effort and support burden look like in real museums. The product should not be forced into a high-volume SaaS model simply to create early subscription numbers.</w:t>
      </w:r>
    </w:p>
    <w:p>
      <w:pPr>
        <w:spacing w:after="40"/>
      </w:pPr>
      <w:r>
        <w:rPr>
          <w:b/>
          <w:color w:val="B7893B"/>
          <w:sz w:val="17"/>
        </w:rPr>
        <w:t>16</w:t>
      </w:r>
    </w:p>
    <w:p>
      <w:pPr>
        <w:pStyle w:val="Heading1"/>
        <w:keepNext/>
      </w:pPr>
      <w:r>
        <w:t>Messaging library</w:t>
      </w:r>
    </w:p>
    <w:p>
      <w:pPr>
        <w:pStyle w:val="Heading2"/>
        <w:keepNext/>
      </w:pPr>
      <w:r>
        <w:t>Homepage hero options</w:t>
      </w:r>
    </w:p>
    <w:p>
      <w:r>
        <w:rPr>
          <w:b/>
          <w:color w:val="17324D"/>
          <w:sz w:val="26"/>
        </w:rPr>
        <w:t>Turn your museum collection into a visitor experience.</w:t>
      </w:r>
    </w:p>
    <w:p>
      <w:r>
        <w:rPr>
          <w:b/>
          <w:color w:val="17324D"/>
          <w:sz w:val="26"/>
        </w:rPr>
        <w:t>Your collection. Your infrastructure. One digital visitor platform.</w:t>
      </w:r>
    </w:p>
    <w:p>
      <w:r>
        <w:rPr>
          <w:b/>
          <w:color w:val="17324D"/>
          <w:sz w:val="26"/>
        </w:rPr>
        <w:t>A digital guide built around your museum—not the other way around.</w:t>
      </w:r>
    </w:p>
    <w:p>
      <w:r>
        <w:rPr>
          <w:b/>
          <w:color w:val="17324D"/>
          <w:sz w:val="26"/>
        </w:rPr>
        <w:t>Connect collections, spaces, stories and visitors.</w:t>
      </w:r>
    </w:p>
    <w:p>
      <w:pPr>
        <w:pStyle w:val="Heading2"/>
        <w:keepNext/>
      </w:pPr>
      <w:r>
        <w:t>Problem-led copy</w:t>
      </w:r>
    </w:p>
    <w:p>
      <w:pPr>
        <w:pStyle w:val="ListBullet"/>
        <w:spacing w:after="40"/>
      </w:pPr>
      <w:r>
        <w:t>Already have a museum database? Don’t build another one for your guide.</w:t>
      </w:r>
    </w:p>
    <w:p>
      <w:pPr>
        <w:pStyle w:val="ListBullet"/>
        <w:spacing w:after="40"/>
      </w:pPr>
      <w:r>
        <w:t>Stop maintaining the same object description in multiple systems.</w:t>
      </w:r>
    </w:p>
    <w:p>
      <w:pPr>
        <w:pStyle w:val="ListBullet"/>
        <w:spacing w:after="40"/>
      </w:pPr>
      <w:r>
        <w:t>Your digital guide should be part of your museum infrastructure—not a content silo.</w:t>
      </w:r>
    </w:p>
    <w:p>
      <w:pPr>
        <w:pStyle w:val="ListBullet"/>
        <w:spacing w:after="40"/>
      </w:pPr>
      <w:r>
        <w:t>Visitor analytics without collecting precise visitor location.</w:t>
      </w:r>
    </w:p>
    <w:p>
      <w:pPr>
        <w:pStyle w:val="Heading2"/>
        <w:keepNext/>
      </w:pPr>
      <w:r>
        <w:t>Procurement-led copy</w:t>
      </w:r>
    </w:p>
    <w:p>
      <w:pPr>
        <w:pStyle w:val="ListBullet"/>
        <w:spacing w:after="40"/>
      </w:pPr>
      <w:r>
        <w:t>Self-hosted or managed deployment options</w:t>
      </w:r>
    </w:p>
    <w:p>
      <w:pPr>
        <w:pStyle w:val="ListBullet"/>
        <w:spacing w:after="40"/>
      </w:pPr>
      <w:r>
        <w:t>Museum-owned data and content</w:t>
      </w:r>
    </w:p>
    <w:p>
      <w:pPr>
        <w:pStyle w:val="ListBullet"/>
        <w:spacing w:after="40"/>
      </w:pPr>
      <w:r>
        <w:t>Structured API and exportability</w:t>
      </w:r>
    </w:p>
    <w:p>
      <w:pPr>
        <w:pStyle w:val="ListBullet"/>
        <w:spacing w:after="40"/>
      </w:pPr>
      <w:r>
        <w:t>Accessibility and privacy built into the platform</w:t>
      </w:r>
    </w:p>
    <w:p>
      <w:pPr>
        <w:pStyle w:val="ListBullet"/>
        <w:spacing w:after="40"/>
      </w:pPr>
      <w:r>
        <w:t>Implementation, migration, training and SLA available</w:t>
      </w:r>
    </w:p>
    <w:p>
      <w:pPr>
        <w:spacing w:after="40"/>
      </w:pPr>
      <w:r>
        <w:rPr>
          <w:b/>
          <w:color w:val="B7893B"/>
          <w:sz w:val="17"/>
        </w:rPr>
        <w:t>17</w:t>
      </w:r>
    </w:p>
    <w:p>
      <w:pPr>
        <w:pStyle w:val="Heading1"/>
        <w:keepNext/>
      </w:pPr>
      <w:r>
        <w:t>Risks and guardrails</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592"/>
            <w:shd w:fill="17324D"/>
            <w:vAlign w:val="center"/>
            <w:tcMar>
              <w:top w:w="100" w:type="dxa"/>
              <w:start w:w="120" w:type="dxa"/>
              <w:bottom w:w="100" w:type="dxa"/>
              <w:end w:w="120" w:type="dxa"/>
            </w:tcMar>
          </w:tcPr>
          <w:p>
            <w:pPr>
              <w:jc w:val="center"/>
            </w:pPr>
            <w:r>
              <w:rPr>
                <w:b/>
                <w:color w:val="FFFFFF"/>
                <w:sz w:val="19"/>
              </w:rPr>
              <w:t>Risk</w:t>
            </w:r>
          </w:p>
        </w:tc>
        <w:tc>
          <w:tcPr>
            <w:tcW w:type="dxa" w:w="3456"/>
            <w:shd w:fill="17324D"/>
            <w:vAlign w:val="center"/>
            <w:tcMar>
              <w:top w:w="100" w:type="dxa"/>
              <w:start w:w="120" w:type="dxa"/>
              <w:bottom w:w="100" w:type="dxa"/>
              <w:end w:w="120" w:type="dxa"/>
            </w:tcMar>
          </w:tcPr>
          <w:p>
            <w:pPr>
              <w:jc w:val="center"/>
            </w:pPr>
            <w:r>
              <w:rPr>
                <w:b/>
                <w:color w:val="FFFFFF"/>
                <w:sz w:val="19"/>
              </w:rPr>
              <w:t>Why it matters</w:t>
            </w:r>
          </w:p>
        </w:tc>
        <w:tc>
          <w:tcPr>
            <w:tcW w:type="dxa" w:w="3888"/>
            <w:shd w:fill="17324D"/>
            <w:vAlign w:val="center"/>
            <w:tcMar>
              <w:top w:w="100" w:type="dxa"/>
              <w:start w:w="120" w:type="dxa"/>
              <w:bottom w:w="100" w:type="dxa"/>
              <w:end w:w="120" w:type="dxa"/>
            </w:tcMar>
          </w:tcPr>
          <w:p>
            <w:pPr>
              <w:jc w:val="center"/>
            </w:pPr>
            <w:r>
              <w:rPr>
                <w:b/>
                <w:color w:val="FFFFFF"/>
                <w:sz w:val="19"/>
              </w:rPr>
              <w:t>Guardrail</w:t>
            </w:r>
          </w:p>
        </w:tc>
      </w:tr>
      <w:tr>
        <w:trPr>
          <w:cantSplit/>
        </w:trPr>
        <w:tc>
          <w:tcPr>
            <w:tcW w:type="dxa" w:w="2592"/>
            <w:vAlign w:val="center"/>
            <w:tcMar>
              <w:top w:w="100" w:type="dxa"/>
              <w:start w:w="120" w:type="dxa"/>
              <w:bottom w:w="100" w:type="dxa"/>
              <w:end w:w="120" w:type="dxa"/>
            </w:tcMar>
          </w:tcPr>
          <w:p>
            <w:pPr>
              <w:spacing w:after="0"/>
            </w:pPr>
            <w:r>
              <w:rPr>
                <w:sz w:val="18"/>
              </w:rPr>
              <w:t>Being perceived as a WordPress plugin</w:t>
            </w:r>
          </w:p>
        </w:tc>
        <w:tc>
          <w:tcPr>
            <w:tcW w:type="dxa" w:w="3456"/>
            <w:vAlign w:val="center"/>
            <w:tcMar>
              <w:top w:w="100" w:type="dxa"/>
              <w:start w:w="120" w:type="dxa"/>
              <w:bottom w:w="100" w:type="dxa"/>
              <w:end w:w="120" w:type="dxa"/>
            </w:tcMar>
          </w:tcPr>
          <w:p>
            <w:pPr>
              <w:spacing w:after="0"/>
            </w:pPr>
            <w:r>
              <w:rPr>
                <w:sz w:val="18"/>
              </w:rPr>
              <w:t>Pushes price expectations down</w:t>
            </w:r>
          </w:p>
        </w:tc>
        <w:tc>
          <w:tcPr>
            <w:tcW w:type="dxa" w:w="3888"/>
            <w:vAlign w:val="center"/>
            <w:tcMar>
              <w:top w:w="100" w:type="dxa"/>
              <w:start w:w="120" w:type="dxa"/>
              <w:bottom w:w="100" w:type="dxa"/>
              <w:end w:w="120" w:type="dxa"/>
            </w:tcMar>
          </w:tcPr>
          <w:p>
            <w:pPr>
              <w:spacing w:after="0"/>
            </w:pPr>
            <w:r>
              <w:rPr>
                <w:sz w:val="18"/>
              </w:rPr>
              <w:t>Lead with platform and institutional outcomes; keep WordPress as implementation detail</w:t>
            </w:r>
          </w:p>
        </w:tc>
      </w:tr>
      <w:tr>
        <w:trPr>
          <w:cantSplit/>
        </w:trPr>
        <w:tc>
          <w:tcPr>
            <w:tcW w:type="dxa" w:w="2592"/>
            <w:vAlign w:val="center"/>
            <w:tcMar>
              <w:top w:w="100" w:type="dxa"/>
              <w:start w:w="120" w:type="dxa"/>
              <w:bottom w:w="100" w:type="dxa"/>
              <w:end w:w="120" w:type="dxa"/>
            </w:tcMar>
          </w:tcPr>
          <w:p>
            <w:pPr>
              <w:spacing w:after="0"/>
            </w:pPr>
            <w:r>
              <w:rPr>
                <w:sz w:val="18"/>
              </w:rPr>
              <w:t>Too many features before proof</w:t>
            </w:r>
          </w:p>
        </w:tc>
        <w:tc>
          <w:tcPr>
            <w:tcW w:type="dxa" w:w="3456"/>
            <w:vAlign w:val="center"/>
            <w:tcMar>
              <w:top w:w="100" w:type="dxa"/>
              <w:start w:w="120" w:type="dxa"/>
              <w:bottom w:w="100" w:type="dxa"/>
              <w:end w:w="120" w:type="dxa"/>
            </w:tcMar>
          </w:tcPr>
          <w:p>
            <w:pPr>
              <w:spacing w:after="0"/>
            </w:pPr>
            <w:r>
              <w:rPr>
                <w:sz w:val="18"/>
              </w:rPr>
              <w:t>Delays real-world learning</w:t>
            </w:r>
          </w:p>
        </w:tc>
        <w:tc>
          <w:tcPr>
            <w:tcW w:type="dxa" w:w="3888"/>
            <w:vAlign w:val="center"/>
            <w:tcMar>
              <w:top w:w="100" w:type="dxa"/>
              <w:start w:w="120" w:type="dxa"/>
              <w:bottom w:w="100" w:type="dxa"/>
              <w:end w:w="120" w:type="dxa"/>
            </w:tcMar>
          </w:tcPr>
          <w:p>
            <w:pPr>
              <w:spacing w:after="0"/>
            </w:pPr>
            <w:r>
              <w:rPr>
                <w:sz w:val="18"/>
              </w:rPr>
              <w:t>Stabilise QR, audio, maps, multilingual, accessibility and analytics first</w:t>
            </w:r>
          </w:p>
        </w:tc>
      </w:tr>
      <w:tr>
        <w:trPr>
          <w:cantSplit/>
        </w:trPr>
        <w:tc>
          <w:tcPr>
            <w:tcW w:type="dxa" w:w="2592"/>
            <w:vAlign w:val="center"/>
            <w:tcMar>
              <w:top w:w="100" w:type="dxa"/>
              <w:start w:w="120" w:type="dxa"/>
              <w:bottom w:w="100" w:type="dxa"/>
              <w:end w:w="120" w:type="dxa"/>
            </w:tcMar>
          </w:tcPr>
          <w:p>
            <w:pPr>
              <w:spacing w:after="0"/>
            </w:pPr>
            <w:r>
              <w:rPr>
                <w:sz w:val="18"/>
              </w:rPr>
              <w:t>Free pilots without reference rights</w:t>
            </w:r>
          </w:p>
        </w:tc>
        <w:tc>
          <w:tcPr>
            <w:tcW w:type="dxa" w:w="3456"/>
            <w:vAlign w:val="center"/>
            <w:tcMar>
              <w:top w:w="100" w:type="dxa"/>
              <w:start w:w="120" w:type="dxa"/>
              <w:bottom w:w="100" w:type="dxa"/>
              <w:end w:w="120" w:type="dxa"/>
            </w:tcMar>
          </w:tcPr>
          <w:p>
            <w:pPr>
              <w:spacing w:after="0"/>
            </w:pPr>
            <w:r>
              <w:rPr>
                <w:sz w:val="18"/>
              </w:rPr>
              <w:t>Creates work but no marketing value</w:t>
            </w:r>
          </w:p>
        </w:tc>
        <w:tc>
          <w:tcPr>
            <w:tcW w:type="dxa" w:w="3888"/>
            <w:vAlign w:val="center"/>
            <w:tcMar>
              <w:top w:w="100" w:type="dxa"/>
              <w:start w:w="120" w:type="dxa"/>
              <w:bottom w:w="100" w:type="dxa"/>
              <w:end w:w="120" w:type="dxa"/>
            </w:tcMar>
          </w:tcPr>
          <w:p>
            <w:pPr>
              <w:spacing w:after="0"/>
            </w:pPr>
            <w:r>
              <w:rPr>
                <w:sz w:val="18"/>
              </w:rPr>
              <w:t>Use a formal Founding Museum agreement</w:t>
            </w:r>
          </w:p>
        </w:tc>
      </w:tr>
      <w:tr>
        <w:trPr>
          <w:cantSplit/>
        </w:trPr>
        <w:tc>
          <w:tcPr>
            <w:tcW w:type="dxa" w:w="2592"/>
            <w:vAlign w:val="center"/>
            <w:tcMar>
              <w:top w:w="100" w:type="dxa"/>
              <w:start w:w="120" w:type="dxa"/>
              <w:bottom w:w="100" w:type="dxa"/>
              <w:end w:w="120" w:type="dxa"/>
            </w:tcMar>
          </w:tcPr>
          <w:p>
            <w:pPr>
              <w:spacing w:after="0"/>
            </w:pPr>
            <w:r>
              <w:rPr>
                <w:sz w:val="18"/>
              </w:rPr>
              <w:t>Overclaiming analytics</w:t>
            </w:r>
          </w:p>
        </w:tc>
        <w:tc>
          <w:tcPr>
            <w:tcW w:type="dxa" w:w="3456"/>
            <w:vAlign w:val="center"/>
            <w:tcMar>
              <w:top w:w="100" w:type="dxa"/>
              <w:start w:w="120" w:type="dxa"/>
              <w:bottom w:w="100" w:type="dxa"/>
              <w:end w:w="120" w:type="dxa"/>
            </w:tcMar>
          </w:tcPr>
          <w:p>
            <w:pPr>
              <w:spacing w:after="0"/>
            </w:pPr>
            <w:r>
              <w:rPr>
                <w:sz w:val="18"/>
              </w:rPr>
              <w:t>Damages trust with public institutions</w:t>
            </w:r>
          </w:p>
        </w:tc>
        <w:tc>
          <w:tcPr>
            <w:tcW w:type="dxa" w:w="3888"/>
            <w:vAlign w:val="center"/>
            <w:tcMar>
              <w:top w:w="100" w:type="dxa"/>
              <w:start w:w="120" w:type="dxa"/>
              <w:bottom w:w="100" w:type="dxa"/>
              <w:end w:w="120" w:type="dxa"/>
            </w:tcMar>
          </w:tcPr>
          <w:p>
            <w:pPr>
              <w:spacing w:after="0"/>
            </w:pPr>
            <w:r>
              <w:rPr>
                <w:sz w:val="18"/>
              </w:rPr>
              <w:t>Use transparent definitions and aggregated/privacy-safe metrics</w:t>
            </w:r>
          </w:p>
        </w:tc>
      </w:tr>
      <w:tr>
        <w:trPr>
          <w:cantSplit/>
        </w:trPr>
        <w:tc>
          <w:tcPr>
            <w:tcW w:type="dxa" w:w="2592"/>
            <w:vAlign w:val="center"/>
            <w:tcMar>
              <w:top w:w="100" w:type="dxa"/>
              <w:start w:w="120" w:type="dxa"/>
              <w:bottom w:w="100" w:type="dxa"/>
              <w:end w:w="120" w:type="dxa"/>
            </w:tcMar>
          </w:tcPr>
          <w:p>
            <w:pPr>
              <w:spacing w:after="0"/>
            </w:pPr>
            <w:r>
              <w:rPr>
                <w:sz w:val="18"/>
              </w:rPr>
              <w:t>Generic social marketing</w:t>
            </w:r>
          </w:p>
        </w:tc>
        <w:tc>
          <w:tcPr>
            <w:tcW w:type="dxa" w:w="3456"/>
            <w:vAlign w:val="center"/>
            <w:tcMar>
              <w:top w:w="100" w:type="dxa"/>
              <w:start w:w="120" w:type="dxa"/>
              <w:bottom w:w="100" w:type="dxa"/>
              <w:end w:w="120" w:type="dxa"/>
            </w:tcMar>
          </w:tcPr>
          <w:p>
            <w:pPr>
              <w:spacing w:after="0"/>
            </w:pPr>
            <w:r>
              <w:rPr>
                <w:sz w:val="18"/>
              </w:rPr>
              <w:t>Consumes time with weak buyer intent</w:t>
            </w:r>
          </w:p>
        </w:tc>
        <w:tc>
          <w:tcPr>
            <w:tcW w:type="dxa" w:w="3888"/>
            <w:vAlign w:val="center"/>
            <w:tcMar>
              <w:top w:w="100" w:type="dxa"/>
              <w:start w:w="120" w:type="dxa"/>
              <w:bottom w:w="100" w:type="dxa"/>
              <w:end w:w="120" w:type="dxa"/>
            </w:tcMar>
          </w:tcPr>
          <w:p>
            <w:pPr>
              <w:spacing w:after="0"/>
            </w:pPr>
            <w:r>
              <w:rPr>
                <w:sz w:val="18"/>
              </w:rPr>
              <w:t>Prioritise specialist networks, partners and targeted LinkedIn</w:t>
            </w:r>
          </w:p>
        </w:tc>
      </w:tr>
      <w:tr>
        <w:trPr>
          <w:cantSplit/>
        </w:trPr>
        <w:tc>
          <w:tcPr>
            <w:tcW w:type="dxa" w:w="2592"/>
            <w:vAlign w:val="center"/>
            <w:tcMar>
              <w:top w:w="100" w:type="dxa"/>
              <w:start w:w="120" w:type="dxa"/>
              <w:bottom w:w="100" w:type="dxa"/>
              <w:end w:w="120" w:type="dxa"/>
            </w:tcMar>
          </w:tcPr>
          <w:p>
            <w:pPr>
              <w:spacing w:after="0"/>
            </w:pPr>
            <w:r>
              <w:rPr>
                <w:sz w:val="18"/>
              </w:rPr>
              <w:t>Competing on price</w:t>
            </w:r>
          </w:p>
        </w:tc>
        <w:tc>
          <w:tcPr>
            <w:tcW w:type="dxa" w:w="3456"/>
            <w:vAlign w:val="center"/>
            <w:tcMar>
              <w:top w:w="100" w:type="dxa"/>
              <w:start w:w="120" w:type="dxa"/>
              <w:bottom w:w="100" w:type="dxa"/>
              <w:end w:w="120" w:type="dxa"/>
            </w:tcMar>
          </w:tcPr>
          <w:p>
            <w:pPr>
              <w:spacing w:after="0"/>
            </w:pPr>
            <w:r>
              <w:rPr>
                <w:sz w:val="18"/>
              </w:rPr>
              <w:t>Moves MAG into commodity SaaS</w:t>
            </w:r>
          </w:p>
        </w:tc>
        <w:tc>
          <w:tcPr>
            <w:tcW w:type="dxa" w:w="3888"/>
            <w:vAlign w:val="center"/>
            <w:tcMar>
              <w:top w:w="100" w:type="dxa"/>
              <w:start w:w="120" w:type="dxa"/>
              <w:bottom w:w="100" w:type="dxa"/>
              <w:end w:w="120" w:type="dxa"/>
            </w:tcMar>
          </w:tcPr>
          <w:p>
            <w:pPr>
              <w:spacing w:after="0"/>
            </w:pPr>
            <w:r>
              <w:rPr>
                <w:sz w:val="18"/>
              </w:rPr>
              <w:t>Package implementation, integration and SLA as enterprise value</w:t>
            </w:r>
          </w:p>
        </w:tc>
      </w:tr>
      <w:tr>
        <w:trPr>
          <w:cantSplit/>
        </w:trPr>
        <w:tc>
          <w:tcPr>
            <w:tcW w:type="dxa" w:w="2592"/>
            <w:vAlign w:val="center"/>
            <w:tcMar>
              <w:top w:w="100" w:type="dxa"/>
              <w:start w:w="120" w:type="dxa"/>
              <w:bottom w:w="100" w:type="dxa"/>
              <w:end w:w="120" w:type="dxa"/>
            </w:tcMar>
          </w:tcPr>
          <w:p>
            <w:pPr>
              <w:spacing w:after="0"/>
            </w:pPr>
            <w:r>
              <w:rPr>
                <w:sz w:val="18"/>
              </w:rPr>
              <w:t>Weak procurement readiness</w:t>
            </w:r>
          </w:p>
        </w:tc>
        <w:tc>
          <w:tcPr>
            <w:tcW w:type="dxa" w:w="3456"/>
            <w:vAlign w:val="center"/>
            <w:tcMar>
              <w:top w:w="100" w:type="dxa"/>
              <w:start w:w="120" w:type="dxa"/>
              <w:bottom w:w="100" w:type="dxa"/>
              <w:end w:w="120" w:type="dxa"/>
            </w:tcMar>
          </w:tcPr>
          <w:p>
            <w:pPr>
              <w:spacing w:after="0"/>
            </w:pPr>
            <w:r>
              <w:rPr>
                <w:sz w:val="18"/>
              </w:rPr>
              <w:t>Stalls late-stage deals</w:t>
            </w:r>
          </w:p>
        </w:tc>
        <w:tc>
          <w:tcPr>
            <w:tcW w:type="dxa" w:w="3888"/>
            <w:vAlign w:val="center"/>
            <w:tcMar>
              <w:top w:w="100" w:type="dxa"/>
              <w:start w:w="120" w:type="dxa"/>
              <w:bottom w:w="100" w:type="dxa"/>
              <w:end w:w="120" w:type="dxa"/>
            </w:tcMar>
          </w:tcPr>
          <w:p>
            <w:pPr>
              <w:spacing w:after="0"/>
            </w:pPr>
            <w:r>
              <w:rPr>
                <w:sz w:val="18"/>
              </w:rPr>
              <w:t>Prepare security, privacy, accessibility and support documentation early</w:t>
            </w:r>
          </w:p>
        </w:tc>
      </w:tr>
    </w:tbl>
    <w:p>
      <w:pPr>
        <w:spacing w:after="40"/>
      </w:pPr>
      <w:r>
        <w:rPr>
          <w:b/>
          <w:color w:val="B7893B"/>
          <w:sz w:val="17"/>
        </w:rPr>
        <w:t>18</w:t>
      </w:r>
    </w:p>
    <w:p>
      <w:pPr>
        <w:pStyle w:val="Heading1"/>
        <w:keepNext/>
      </w:pPr>
      <w:r>
        <w:t>Recommended source channels and references</w:t>
      </w:r>
    </w:p>
    <w:p>
      <w:r>
        <w:t>These organisations and channels are particularly relevant for MAG’s international market development and thought-leadership strategy. Event formats and dates change, so current programmes should always be checked before outreach or sponsorship decisions.</w:t>
      </w:r>
    </w:p>
    <w:tbl>
      <w:tblPr>
        <w:tblStyle w:val="TableGrid"/>
        <w:tblW w:type="auto" w:w="0"/>
        <w:jc w:val="center"/>
        <w:tblLook w:firstColumn="1" w:firstRow="1" w:lastColumn="0" w:lastRow="0" w:noHBand="0" w:noVBand="1" w:val="04A0"/>
      </w:tblPr>
      <w:tblGrid>
        <w:gridCol w:w="3360"/>
        <w:gridCol w:w="3360"/>
        <w:gridCol w:w="3360"/>
      </w:tblGrid>
      <w:tr>
        <w:trPr>
          <w:tblHeader w:val="true"/>
          <w:cantSplit/>
        </w:trPr>
        <w:tc>
          <w:tcPr>
            <w:tcW w:type="dxa" w:w="2376"/>
            <w:shd w:fill="17324D"/>
            <w:vAlign w:val="center"/>
            <w:tcMar>
              <w:top w:w="100" w:type="dxa"/>
              <w:start w:w="120" w:type="dxa"/>
              <w:bottom w:w="100" w:type="dxa"/>
              <w:end w:w="120" w:type="dxa"/>
            </w:tcMar>
          </w:tcPr>
          <w:p>
            <w:pPr>
              <w:jc w:val="center"/>
            </w:pPr>
            <w:r>
              <w:rPr>
                <w:b/>
                <w:color w:val="FFFFFF"/>
                <w:sz w:val="19"/>
              </w:rPr>
              <w:t>Channel</w:t>
            </w:r>
          </w:p>
        </w:tc>
        <w:tc>
          <w:tcPr>
            <w:tcW w:type="dxa" w:w="3456"/>
            <w:shd w:fill="17324D"/>
            <w:vAlign w:val="center"/>
            <w:tcMar>
              <w:top w:w="100" w:type="dxa"/>
              <w:start w:w="120" w:type="dxa"/>
              <w:bottom w:w="100" w:type="dxa"/>
              <w:end w:w="120" w:type="dxa"/>
            </w:tcMar>
          </w:tcPr>
          <w:p>
            <w:pPr>
              <w:jc w:val="center"/>
            </w:pPr>
            <w:r>
              <w:rPr>
                <w:b/>
                <w:color w:val="FFFFFF"/>
                <w:sz w:val="19"/>
              </w:rPr>
              <w:t>URL</w:t>
            </w:r>
          </w:p>
        </w:tc>
        <w:tc>
          <w:tcPr>
            <w:tcW w:type="dxa" w:w="4104"/>
            <w:shd w:fill="17324D"/>
            <w:vAlign w:val="center"/>
            <w:tcMar>
              <w:top w:w="100" w:type="dxa"/>
              <w:start w:w="120" w:type="dxa"/>
              <w:bottom w:w="100" w:type="dxa"/>
              <w:end w:w="120" w:type="dxa"/>
            </w:tcMar>
          </w:tcPr>
          <w:p>
            <w:pPr>
              <w:jc w:val="center"/>
            </w:pPr>
            <w:r>
              <w:rPr>
                <w:b/>
                <w:color w:val="FFFFFF"/>
                <w:sz w:val="19"/>
              </w:rPr>
              <w:t>Use for MAG</w:t>
            </w:r>
          </w:p>
        </w:tc>
      </w:tr>
      <w:tr>
        <w:trPr>
          <w:cantSplit/>
        </w:trPr>
        <w:tc>
          <w:tcPr>
            <w:tcW w:type="dxa" w:w="2376"/>
            <w:vAlign w:val="center"/>
            <w:tcMar>
              <w:top w:w="100" w:type="dxa"/>
              <w:start w:w="120" w:type="dxa"/>
              <w:bottom w:w="100" w:type="dxa"/>
              <w:end w:w="120" w:type="dxa"/>
            </w:tcMar>
          </w:tcPr>
          <w:p>
            <w:pPr>
              <w:spacing w:after="0"/>
            </w:pPr>
            <w:r>
              <w:rPr>
                <w:sz w:val="18"/>
              </w:rPr>
              <w:t>NEMO – Network of European Museum Organisations</w:t>
            </w:r>
          </w:p>
        </w:tc>
        <w:tc>
          <w:tcPr>
            <w:tcW w:type="dxa" w:w="3456"/>
            <w:vAlign w:val="center"/>
            <w:tcMar>
              <w:top w:w="100" w:type="dxa"/>
              <w:start w:w="120" w:type="dxa"/>
              <w:bottom w:w="100" w:type="dxa"/>
              <w:end w:w="120" w:type="dxa"/>
            </w:tcMar>
          </w:tcPr>
          <w:p>
            <w:pPr>
              <w:spacing w:after="0"/>
            </w:pPr>
            <w:r>
              <w:rPr>
                <w:sz w:val="18"/>
              </w:rPr>
              <w:t>https://www.ne-mo.org/</w:t>
            </w:r>
          </w:p>
        </w:tc>
        <w:tc>
          <w:tcPr>
            <w:tcW w:type="dxa" w:w="4104"/>
            <w:vAlign w:val="center"/>
            <w:tcMar>
              <w:top w:w="100" w:type="dxa"/>
              <w:start w:w="120" w:type="dxa"/>
              <w:bottom w:w="100" w:type="dxa"/>
              <w:end w:w="120" w:type="dxa"/>
            </w:tcMar>
          </w:tcPr>
          <w:p>
            <w:pPr>
              <w:spacing w:after="0"/>
            </w:pPr>
            <w:r>
              <w:rPr>
                <w:sz w:val="18"/>
              </w:rPr>
              <w:t>European museum network; conferences, working groups and digital-transformation topics.</w:t>
            </w:r>
          </w:p>
        </w:tc>
      </w:tr>
      <w:tr>
        <w:trPr>
          <w:cantSplit/>
        </w:trPr>
        <w:tc>
          <w:tcPr>
            <w:tcW w:type="dxa" w:w="2376"/>
            <w:vAlign w:val="center"/>
            <w:tcMar>
              <w:top w:w="100" w:type="dxa"/>
              <w:start w:w="120" w:type="dxa"/>
              <w:bottom w:w="100" w:type="dxa"/>
              <w:end w:w="120" w:type="dxa"/>
            </w:tcMar>
          </w:tcPr>
          <w:p>
            <w:pPr>
              <w:spacing w:after="0"/>
            </w:pPr>
            <w:r>
              <w:rPr>
                <w:sz w:val="18"/>
              </w:rPr>
              <w:t>MuseumNext</w:t>
            </w:r>
          </w:p>
        </w:tc>
        <w:tc>
          <w:tcPr>
            <w:tcW w:type="dxa" w:w="3456"/>
            <w:vAlign w:val="center"/>
            <w:tcMar>
              <w:top w:w="100" w:type="dxa"/>
              <w:start w:w="120" w:type="dxa"/>
              <w:bottom w:w="100" w:type="dxa"/>
              <w:end w:w="120" w:type="dxa"/>
            </w:tcMar>
          </w:tcPr>
          <w:p>
            <w:pPr>
              <w:spacing w:after="0"/>
            </w:pPr>
            <w:r>
              <w:rPr>
                <w:sz w:val="18"/>
              </w:rPr>
              <w:t>https://www.museumnext.com/</w:t>
            </w:r>
          </w:p>
        </w:tc>
        <w:tc>
          <w:tcPr>
            <w:tcW w:type="dxa" w:w="4104"/>
            <w:vAlign w:val="center"/>
            <w:tcMar>
              <w:top w:w="100" w:type="dxa"/>
              <w:start w:w="120" w:type="dxa"/>
              <w:bottom w:w="100" w:type="dxa"/>
              <w:end w:w="120" w:type="dxa"/>
            </w:tcMar>
          </w:tcPr>
          <w:p>
            <w:pPr>
              <w:spacing w:after="0"/>
            </w:pPr>
            <w:r>
              <w:rPr>
                <w:sz w:val="18"/>
              </w:rPr>
              <w:t>Museum innovation, digital collections, visitor experience and technology events/content.</w:t>
            </w:r>
          </w:p>
        </w:tc>
      </w:tr>
      <w:tr>
        <w:trPr>
          <w:cantSplit/>
        </w:trPr>
        <w:tc>
          <w:tcPr>
            <w:tcW w:type="dxa" w:w="2376"/>
            <w:vAlign w:val="center"/>
            <w:tcMar>
              <w:top w:w="100" w:type="dxa"/>
              <w:start w:w="120" w:type="dxa"/>
              <w:bottom w:w="100" w:type="dxa"/>
              <w:end w:w="120" w:type="dxa"/>
            </w:tcMar>
          </w:tcPr>
          <w:p>
            <w:pPr>
              <w:spacing w:after="0"/>
            </w:pPr>
            <w:r>
              <w:rPr>
                <w:sz w:val="18"/>
              </w:rPr>
              <w:t>Museums + Heritage Show</w:t>
            </w:r>
          </w:p>
        </w:tc>
        <w:tc>
          <w:tcPr>
            <w:tcW w:type="dxa" w:w="3456"/>
            <w:vAlign w:val="center"/>
            <w:tcMar>
              <w:top w:w="100" w:type="dxa"/>
              <w:start w:w="120" w:type="dxa"/>
              <w:bottom w:w="100" w:type="dxa"/>
              <w:end w:w="120" w:type="dxa"/>
            </w:tcMar>
          </w:tcPr>
          <w:p>
            <w:pPr>
              <w:spacing w:after="0"/>
            </w:pPr>
            <w:r>
              <w:rPr>
                <w:sz w:val="18"/>
              </w:rPr>
              <w:t>https://show.museumsandheritage.com/</w:t>
            </w:r>
          </w:p>
        </w:tc>
        <w:tc>
          <w:tcPr>
            <w:tcW w:type="dxa" w:w="4104"/>
            <w:vAlign w:val="center"/>
            <w:tcMar>
              <w:top w:w="100" w:type="dxa"/>
              <w:start w:w="120" w:type="dxa"/>
              <w:bottom w:w="100" w:type="dxa"/>
              <w:end w:w="120" w:type="dxa"/>
            </w:tcMar>
          </w:tcPr>
          <w:p>
            <w:pPr>
              <w:spacing w:after="0"/>
            </w:pPr>
            <w:r>
              <w:rPr>
                <w:sz w:val="18"/>
              </w:rPr>
              <w:t>Supplier-oriented museum sector event; useful for direct sales and partnerships.</w:t>
            </w:r>
          </w:p>
        </w:tc>
      </w:tr>
      <w:tr>
        <w:trPr>
          <w:cantSplit/>
        </w:trPr>
        <w:tc>
          <w:tcPr>
            <w:tcW w:type="dxa" w:w="2376"/>
            <w:vAlign w:val="center"/>
            <w:tcMar>
              <w:top w:w="100" w:type="dxa"/>
              <w:start w:w="120" w:type="dxa"/>
              <w:bottom w:w="100" w:type="dxa"/>
              <w:end w:w="120" w:type="dxa"/>
            </w:tcMar>
          </w:tcPr>
          <w:p>
            <w:pPr>
              <w:spacing w:after="0"/>
            </w:pPr>
            <w:r>
              <w:rPr>
                <w:sz w:val="18"/>
              </w:rPr>
              <w:t>Europeana</w:t>
            </w:r>
          </w:p>
        </w:tc>
        <w:tc>
          <w:tcPr>
            <w:tcW w:type="dxa" w:w="3456"/>
            <w:vAlign w:val="center"/>
            <w:tcMar>
              <w:top w:w="100" w:type="dxa"/>
              <w:start w:w="120" w:type="dxa"/>
              <w:bottom w:w="100" w:type="dxa"/>
              <w:end w:w="120" w:type="dxa"/>
            </w:tcMar>
          </w:tcPr>
          <w:p>
            <w:pPr>
              <w:spacing w:after="0"/>
            </w:pPr>
            <w:r>
              <w:rPr>
                <w:sz w:val="18"/>
              </w:rPr>
              <w:t>https://www.europeana.eu/</w:t>
            </w:r>
          </w:p>
        </w:tc>
        <w:tc>
          <w:tcPr>
            <w:tcW w:type="dxa" w:w="4104"/>
            <w:vAlign w:val="center"/>
            <w:tcMar>
              <w:top w:w="100" w:type="dxa"/>
              <w:start w:w="120" w:type="dxa"/>
              <w:bottom w:w="100" w:type="dxa"/>
              <w:end w:w="120" w:type="dxa"/>
            </w:tcMar>
          </w:tcPr>
          <w:p>
            <w:pPr>
              <w:spacing w:after="0"/>
            </w:pPr>
            <w:r>
              <w:rPr>
                <w:sz w:val="18"/>
              </w:rPr>
              <w:t>Cultural heritage data, digital storytelling and professional community.</w:t>
            </w:r>
          </w:p>
        </w:tc>
      </w:tr>
      <w:tr>
        <w:trPr>
          <w:cantSplit/>
        </w:trPr>
        <w:tc>
          <w:tcPr>
            <w:tcW w:type="dxa" w:w="2376"/>
            <w:vAlign w:val="center"/>
            <w:tcMar>
              <w:top w:w="100" w:type="dxa"/>
              <w:start w:w="120" w:type="dxa"/>
              <w:bottom w:w="100" w:type="dxa"/>
              <w:end w:w="120" w:type="dxa"/>
            </w:tcMar>
          </w:tcPr>
          <w:p>
            <w:pPr>
              <w:spacing w:after="0"/>
            </w:pPr>
            <w:r>
              <w:rPr>
                <w:sz w:val="18"/>
              </w:rPr>
              <w:t>ICOM</w:t>
            </w:r>
          </w:p>
        </w:tc>
        <w:tc>
          <w:tcPr>
            <w:tcW w:type="dxa" w:w="3456"/>
            <w:vAlign w:val="center"/>
            <w:tcMar>
              <w:top w:w="100" w:type="dxa"/>
              <w:start w:w="120" w:type="dxa"/>
              <w:bottom w:w="100" w:type="dxa"/>
              <w:end w:w="120" w:type="dxa"/>
            </w:tcMar>
          </w:tcPr>
          <w:p>
            <w:pPr>
              <w:spacing w:after="0"/>
            </w:pPr>
            <w:r>
              <w:rPr>
                <w:sz w:val="18"/>
              </w:rPr>
              <w:t>https://icom.museum/</w:t>
            </w:r>
          </w:p>
        </w:tc>
        <w:tc>
          <w:tcPr>
            <w:tcW w:type="dxa" w:w="4104"/>
            <w:vAlign w:val="center"/>
            <w:tcMar>
              <w:top w:w="100" w:type="dxa"/>
              <w:start w:w="120" w:type="dxa"/>
              <w:bottom w:w="100" w:type="dxa"/>
              <w:end w:w="120" w:type="dxa"/>
            </w:tcMar>
          </w:tcPr>
          <w:p>
            <w:pPr>
              <w:spacing w:after="0"/>
            </w:pPr>
            <w:r>
              <w:rPr>
                <w:sz w:val="18"/>
              </w:rPr>
              <w:t>International museum professional network and sector context.</w:t>
            </w:r>
          </w:p>
        </w:tc>
      </w:tr>
      <w:tr>
        <w:trPr>
          <w:cantSplit/>
        </w:trPr>
        <w:tc>
          <w:tcPr>
            <w:tcW w:type="dxa" w:w="2376"/>
            <w:vAlign w:val="center"/>
            <w:tcMar>
              <w:top w:w="100" w:type="dxa"/>
              <w:start w:w="120" w:type="dxa"/>
              <w:bottom w:w="100" w:type="dxa"/>
              <w:end w:w="120" w:type="dxa"/>
            </w:tcMar>
          </w:tcPr>
          <w:p>
            <w:pPr>
              <w:spacing w:after="0"/>
            </w:pPr>
            <w:r>
              <w:rPr>
                <w:sz w:val="18"/>
              </w:rPr>
              <w:t>LinkedIn</w:t>
            </w:r>
          </w:p>
        </w:tc>
        <w:tc>
          <w:tcPr>
            <w:tcW w:type="dxa" w:w="3456"/>
            <w:vAlign w:val="center"/>
            <w:tcMar>
              <w:top w:w="100" w:type="dxa"/>
              <w:start w:w="120" w:type="dxa"/>
              <w:bottom w:w="100" w:type="dxa"/>
              <w:end w:w="120" w:type="dxa"/>
            </w:tcMar>
          </w:tcPr>
          <w:p>
            <w:pPr>
              <w:spacing w:after="0"/>
            </w:pPr>
            <w:r>
              <w:rPr>
                <w:sz w:val="18"/>
              </w:rPr>
              <w:t>https://www.linkedin.com/</w:t>
            </w:r>
          </w:p>
        </w:tc>
        <w:tc>
          <w:tcPr>
            <w:tcW w:type="dxa" w:w="4104"/>
            <w:vAlign w:val="center"/>
            <w:tcMar>
              <w:top w:w="100" w:type="dxa"/>
              <w:start w:w="120" w:type="dxa"/>
              <w:bottom w:w="100" w:type="dxa"/>
              <w:end w:w="120" w:type="dxa"/>
            </w:tcMar>
          </w:tcPr>
          <w:p>
            <w:pPr>
              <w:spacing w:after="0"/>
            </w:pPr>
            <w:r>
              <w:rPr>
                <w:sz w:val="18"/>
              </w:rPr>
              <w:t>Primary social channel for museum digital, collections, visitor-experience and procurement professionals.</w:t>
            </w:r>
          </w:p>
        </w:tc>
      </w:tr>
    </w:tbl>
    <w:tbl>
      <w:tblPr>
        <w:tblW w:type="auto" w:w="0"/>
        <w:jc w:val="center"/>
        <w:tblLook w:firstColumn="1" w:firstRow="1" w:lastColumn="0" w:lastRow="0" w:noHBand="0" w:noVBand="1" w:val="04A0"/>
      </w:tblPr>
      <w:tblGrid>
        <w:gridCol w:w="10080"/>
      </w:tblGrid>
      <w:tr>
        <w:tc>
          <w:tcPr>
            <w:tcW w:type="dxa" w:w="10080"/>
            <w:shd w:fill="EAF3F3"/>
            <w:tcMar>
              <w:top w:w="120" w:type="dxa"/>
              <w:start w:w="180" w:type="dxa"/>
              <w:bottom w:w="120" w:type="dxa"/>
              <w:end w:w="180" w:type="dxa"/>
            </w:tcMar>
          </w:tcPr>
          <w:p>
            <w:pPr>
              <w:spacing w:after="80"/>
            </w:pPr>
            <w:r>
              <w:rPr>
                <w:b/>
                <w:color w:val="1E6F74"/>
                <w:sz w:val="22"/>
              </w:rPr>
              <w:t>Recommended next move</w:t>
            </w:r>
          </w:p>
          <w:p>
            <w:pPr>
              <w:spacing w:after="0" w:line="264" w:lineRule="auto"/>
            </w:pPr>
            <w:r>
              <w:t>Finish a stable pilot release, secure 3–5 Founding Museums, instrument analytics from day one, and build the international website around proof: live demo, case studies, technical trust and museum-owned infrastructure.</w:t>
            </w:r>
          </w:p>
        </w:tc>
      </w:tr>
    </w:tbl>
    <w:p>
      <w:pPr>
        <w:spacing w:after="0"/>
      </w:pP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788"/>
        <w:sz w:val="16"/>
      </w:rPr>
      <w:t xml:space="preserve">MAG · Marketing &amp; Go-to-Market Strategy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E6F74"/>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2313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66778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Museum Audio Guide – Marketing &amp; Go-to-Market Strategy</dc:title>
  <dc:subject>Pilot strategy, case studies, channels, partnerships and enterprise sales plan</dc:subject>
  <dc:creator>MAG</dc:creator>
  <cp:keywords>museum, audio guide, digital visitor platform, marketing, go-to-market, case study, museum technology</cp:keywords>
  <dc:description>generated by python-docx</dc:description>
  <cp:lastModifiedBy/>
  <cp:revision>1</cp:revision>
  <dcterms:created xsi:type="dcterms:W3CDTF">2013-12-23T23:15:00Z</dcterms:created>
  <dcterms:modified xsi:type="dcterms:W3CDTF">2013-12-23T23:15:00Z</dcterms:modified>
  <cp:category/>
</cp:coreProperties>
</file>