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ectionLabel"/>
      </w:pPr>
      <w:r>
        <w:t>TECHNICAL HANDOVER / DEVELOPER ONBOARDING</w:t>
      </w:r>
    </w:p>
    <w:p>
      <w:pPr>
        <w:pStyle w:val="Title"/>
      </w:pPr>
      <w:r>
        <w:t>Museum Audio Guide</w:t>
      </w:r>
    </w:p>
    <w:p>
      <w:pPr>
        <w:jc w:val="left"/>
      </w:pPr>
      <w:r>
        <w:rPr>
          <w:b/>
          <w:color w:val="147D92"/>
          <w:sz w:val="34"/>
        </w:rPr>
        <w:t>Technical Specification · v1.12.11</w:t>
      </w:r>
    </w:p>
    <w:p>
      <w:pPr>
        <w:spacing w:before="360"/>
      </w:pPr>
      <w:r>
        <w:rPr>
          <w:color w:val="46535E"/>
          <w:sz w:val="25"/>
        </w:rPr>
        <w:t>WordPress platform for museum audio tours, visitor navigation, QR/NFC stations, indoor/outdoor maps, multilingual content, accessibility and editorial QA.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DDEBF2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Purpose of this document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This specification is intended to let a new developer understand the plugin quickly: architecture, content model, field schema, REST contract, frontend application, visitor flows, maps, audio, multilingual behavior, administration, import/export, QA, security and the planned extension points. It describes the uploaded v1.12.11 package, not later planned work.</w:t>
            </w:r>
          </w:p>
        </w:tc>
      </w:tr>
    </w:tbl>
    <w:p>
      <w:pPr>
        <w:spacing w:after="40"/>
      </w:pP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1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70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Product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Museum Audio Guide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Audited package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museum-audio-guide-v1.12.11.zip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Plugin version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1.12.11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REST namespace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/wp-json/museum-guide/v1/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Default guide entry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/guide/ (configurable)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Backend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PHP / WordPress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Frontend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Vanilla JavaScript + CSS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Primary editorial layer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 Pro / Local JSON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Primary multilingual integration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WPML (optional in v1.12.11)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Title"/>
      </w:pPr>
      <w:r>
        <w:t>Contents</w:t>
      </w:r>
    </w:p>
    <w:p>
      <w:pPr>
        <w:spacing w:after="60"/>
      </w:pPr>
      <w:r>
        <w:rPr>
          <w:color w:val="183B56"/>
          <w:sz w:val="20"/>
        </w:rPr>
        <w:t>1. Product overview and architectural principles</w:t>
      </w:r>
    </w:p>
    <w:p>
      <w:pPr>
        <w:spacing w:after="60"/>
      </w:pPr>
      <w:r>
        <w:rPr>
          <w:color w:val="183B56"/>
          <w:sz w:val="20"/>
        </w:rPr>
        <w:t>2. Repository and module map</w:t>
      </w:r>
    </w:p>
    <w:p>
      <w:pPr>
        <w:spacing w:after="60"/>
      </w:pPr>
      <w:r>
        <w:rPr>
          <w:color w:val="183B56"/>
          <w:sz w:val="20"/>
        </w:rPr>
        <w:t>3. Technology stack and runtime dependencies</w:t>
      </w:r>
    </w:p>
    <w:p>
      <w:pPr>
        <w:spacing w:after="60"/>
      </w:pPr>
      <w:r>
        <w:rPr>
          <w:color w:val="183B56"/>
          <w:sz w:val="20"/>
        </w:rPr>
        <w:t>4. Content model and relationships</w:t>
      </w:r>
    </w:p>
    <w:p>
      <w:pPr>
        <w:spacing w:after="60"/>
      </w:pPr>
      <w:r>
        <w:rPr>
          <w:color w:val="183B56"/>
          <w:sz w:val="20"/>
        </w:rPr>
        <w:t>5. ACF field model</w:t>
      </w:r>
    </w:p>
    <w:p>
      <w:pPr>
        <w:spacing w:after="60"/>
      </w:pPr>
      <w:r>
        <w:rPr>
          <w:color w:val="183B56"/>
          <w:sz w:val="20"/>
        </w:rPr>
        <w:t>6. Object integration and semantic field mapping</w:t>
      </w:r>
    </w:p>
    <w:p>
      <w:pPr>
        <w:spacing w:after="60"/>
      </w:pPr>
      <w:r>
        <w:rPr>
          <w:color w:val="183B56"/>
          <w:sz w:val="20"/>
        </w:rPr>
        <w:t>7. Resolver layer and API contract</w:t>
      </w:r>
    </w:p>
    <w:p>
      <w:pPr>
        <w:spacing w:after="60"/>
      </w:pPr>
      <w:r>
        <w:rPr>
          <w:color w:val="183B56"/>
          <w:sz w:val="20"/>
        </w:rPr>
        <w:t>8. REST API</w:t>
      </w:r>
    </w:p>
    <w:p>
      <w:pPr>
        <w:spacing w:after="60"/>
      </w:pPr>
      <w:r>
        <w:rPr>
          <w:color w:val="183B56"/>
          <w:sz w:val="20"/>
        </w:rPr>
        <w:t>9. Frontend application and routes</w:t>
      </w:r>
    </w:p>
    <w:p>
      <w:pPr>
        <w:spacing w:after="60"/>
      </w:pPr>
      <w:r>
        <w:rPr>
          <w:color w:val="183B56"/>
          <w:sz w:val="20"/>
        </w:rPr>
        <w:t>10. Audio system and transcripts</w:t>
      </w:r>
    </w:p>
    <w:p>
      <w:pPr>
        <w:spacing w:after="60"/>
      </w:pPr>
      <w:r>
        <w:rPr>
          <w:color w:val="183B56"/>
          <w:sz w:val="20"/>
        </w:rPr>
        <w:t>11. Indoor mapping</w:t>
      </w:r>
    </w:p>
    <w:p>
      <w:pPr>
        <w:spacing w:after="60"/>
      </w:pPr>
      <w:r>
        <w:rPr>
          <w:color w:val="183B56"/>
          <w:sz w:val="20"/>
        </w:rPr>
        <w:t>12. Outdoor mode and geolocation</w:t>
      </w:r>
    </w:p>
    <w:p>
      <w:pPr>
        <w:spacing w:after="60"/>
      </w:pPr>
      <w:r>
        <w:rPr>
          <w:color w:val="183B56"/>
          <w:sz w:val="20"/>
        </w:rPr>
        <w:t>13. QR, NFC and station-number system</w:t>
      </w:r>
    </w:p>
    <w:p>
      <w:pPr>
        <w:spacing w:after="60"/>
      </w:pPr>
      <w:r>
        <w:rPr>
          <w:color w:val="183B56"/>
          <w:sz w:val="20"/>
        </w:rPr>
        <w:t>14. Multilingual behavior</w:t>
      </w:r>
    </w:p>
    <w:p>
      <w:pPr>
        <w:spacing w:after="60"/>
      </w:pPr>
      <w:r>
        <w:rPr>
          <w:color w:val="183B56"/>
          <w:sz w:val="20"/>
        </w:rPr>
        <w:t>15. Branding and UI terminology</w:t>
      </w:r>
    </w:p>
    <w:p>
      <w:pPr>
        <w:spacing w:after="60"/>
      </w:pPr>
      <w:r>
        <w:rPr>
          <w:color w:val="183B56"/>
          <w:sz w:val="20"/>
        </w:rPr>
        <w:t>16. Accessibility</w:t>
      </w:r>
    </w:p>
    <w:p>
      <w:pPr>
        <w:spacing w:after="60"/>
      </w:pPr>
      <w:r>
        <w:rPr>
          <w:color w:val="183B56"/>
          <w:sz w:val="20"/>
        </w:rPr>
        <w:t>17. Analytics and privacy</w:t>
      </w:r>
    </w:p>
    <w:p>
      <w:pPr>
        <w:spacing w:after="60"/>
      </w:pPr>
      <w:r>
        <w:rPr>
          <w:color w:val="183B56"/>
          <w:sz w:val="20"/>
        </w:rPr>
        <w:t>18. Editorial readiness / Tour Health</w:t>
      </w:r>
    </w:p>
    <w:p>
      <w:pPr>
        <w:spacing w:after="60"/>
      </w:pPr>
      <w:r>
        <w:rPr>
          <w:color w:val="183B56"/>
          <w:sz w:val="20"/>
        </w:rPr>
        <w:t>19. Administration, diagnostics and preview</w:t>
      </w:r>
    </w:p>
    <w:p>
      <w:pPr>
        <w:spacing w:after="60"/>
      </w:pPr>
      <w:r>
        <w:rPr>
          <w:color w:val="183B56"/>
          <w:sz w:val="20"/>
        </w:rPr>
        <w:t>20. Import/export and migration</w:t>
      </w:r>
    </w:p>
    <w:p>
      <w:pPr>
        <w:spacing w:after="60"/>
      </w:pPr>
      <w:r>
        <w:rPr>
          <w:color w:val="183B56"/>
          <w:sz w:val="20"/>
        </w:rPr>
        <w:t>21. Security, permissions and uninstall behavior</w:t>
      </w:r>
    </w:p>
    <w:p>
      <w:pPr>
        <w:spacing w:after="60"/>
      </w:pPr>
      <w:r>
        <w:rPr>
          <w:color w:val="183B56"/>
          <w:sz w:val="20"/>
        </w:rPr>
        <w:t>22. Cache and performance</w:t>
      </w:r>
    </w:p>
    <w:p>
      <w:pPr>
        <w:spacing w:after="60"/>
      </w:pPr>
      <w:r>
        <w:rPr>
          <w:color w:val="183B56"/>
          <w:sz w:val="20"/>
        </w:rPr>
        <w:t>23. QA and test tooling</w:t>
      </w:r>
    </w:p>
    <w:p>
      <w:pPr>
        <w:spacing w:after="60"/>
      </w:pPr>
      <w:r>
        <w:rPr>
          <w:color w:val="183B56"/>
          <w:sz w:val="20"/>
        </w:rPr>
        <w:t>24. Known boundaries in v1.12.11</w:t>
      </w:r>
    </w:p>
    <w:p>
      <w:pPr>
        <w:spacing w:after="60"/>
      </w:pPr>
      <w:r>
        <w:rPr>
          <w:color w:val="183B56"/>
          <w:sz w:val="20"/>
        </w:rPr>
        <w:t>25. Recommended developer onboarding path</w:t>
      </w:r>
    </w:p>
    <w:p>
      <w:pPr>
        <w:spacing w:after="60"/>
      </w:pPr>
      <w:r>
        <w:rPr>
          <w:color w:val="183B56"/>
          <w:sz w:val="20"/>
        </w:rPr>
        <w:t>Appendix A. Core identifiers and machine names</w:t>
      </w:r>
    </w:p>
    <w:p>
      <w:pPr>
        <w:spacing w:after="60"/>
      </w:pPr>
      <w:r>
        <w:rPr>
          <w:color w:val="183B56"/>
          <w:sz w:val="20"/>
        </w:rPr>
        <w:t>Appendix B. Development rules that should remain stable</w:t>
      </w:r>
    </w:p>
    <w:p>
      <w:r>
        <w:br w:type="page"/>
      </w:r>
    </w:p>
    <w:p>
      <w:pPr>
        <w:pStyle w:val="Title"/>
      </w:pPr>
      <w:r>
        <w:t>1. Product overview and architectural principles</w:t>
      </w:r>
    </w:p>
    <w:p>
      <w:r>
        <w:t>Museum Audio Guide is a WordPress-based visitor platform for museums, galleries, exhibitions and heritage institutions. It is designed as a layer on top of an institution’s existing collection database rather than as a replacement for that database.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4F6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Courier New" w:hAnsi="Courier New"/>
                <w:color w:val="232D37"/>
                <w:sz w:val="17"/>
              </w:rPr>
              <w:t>MUSEUM DATABASE / WORDPRESS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 semantic mapping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OBJECT ↔ SPACE ↔ STORY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TOUR STOP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TOUR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RESOLVERS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REST API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      ↓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MOBILE GUIDE APP</w:t>
            </w:r>
          </w:p>
        </w:tc>
      </w:tr>
    </w:tbl>
    <w:p>
      <w:pPr>
        <w:spacing w:after="40"/>
      </w:pPr>
    </w:p>
    <w:p>
      <w:pPr>
        <w:pStyle w:val="ListBullet"/>
        <w:spacing w:after="60"/>
      </w:pPr>
      <w:r>
        <w:rPr>
          <w:b/>
        </w:rPr>
        <w:t xml:space="preserve">The museum object CPT can remain external. </w:t>
      </w:r>
      <w:r>
        <w:t>The plugin can use its internal mag_object CPT or an existing museum CPT selected in Integration settings.</w:t>
      </w:r>
    </w:p>
    <w:p>
      <w:pPr>
        <w:pStyle w:val="ListBullet"/>
        <w:spacing w:after="60"/>
      </w:pPr>
      <w:r>
        <w:rPr>
          <w:b/>
        </w:rPr>
        <w:t xml:space="preserve">The frontend never needs raw ACF field names. </w:t>
      </w:r>
      <w:r>
        <w:t>Resolvers normalize WordPress and ACF data into a stable REST contract.</w:t>
      </w:r>
    </w:p>
    <w:p>
      <w:pPr>
        <w:pStyle w:val="ListBullet"/>
        <w:spacing w:after="60"/>
      </w:pPr>
      <w:r>
        <w:rPr>
          <w:b/>
        </w:rPr>
        <w:t xml:space="preserve">Tour Stop is a first-class entity. </w:t>
      </w:r>
      <w:r>
        <w:t>A stop may represent an object, space, story, intro, outro or custom content and can override inherited content.</w:t>
      </w:r>
    </w:p>
    <w:p>
      <w:pPr>
        <w:pStyle w:val="ListBullet"/>
        <w:spacing w:after="60"/>
      </w:pPr>
      <w:r>
        <w:rPr>
          <w:b/>
        </w:rPr>
        <w:t xml:space="preserve">Visitor use is account-free. </w:t>
      </w:r>
      <w:r>
        <w:t>Saved items, recents and active-tour state are stored locally in the browser.</w:t>
      </w:r>
    </w:p>
    <w:p>
      <w:pPr>
        <w:pStyle w:val="ListBullet"/>
        <w:spacing w:after="60"/>
      </w:pPr>
      <w:r>
        <w:rPr>
          <w:b/>
        </w:rPr>
        <w:t xml:space="preserve">Indoor and outdoor navigation are separate modes. </w:t>
      </w:r>
      <w:r>
        <w:t>Indoor mapping uses SVG + coordinates; outdoor mode uses Google Maps and browser geolocation.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Architectural rule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Treat the resolver output as the API contract. Do not let frontend code read ACF/meta directly, and do not expose raw WordPress structures as the public contract.</w:t>
            </w:r>
          </w:p>
        </w:tc>
      </w:tr>
    </w:tbl>
    <w:p>
      <w:pPr>
        <w:spacing w:after="40"/>
      </w:pPr>
    </w:p>
    <w:p>
      <w:pPr>
        <w:pStyle w:val="Title"/>
      </w:pPr>
      <w:r>
        <w:t>2. Repository and module map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4F6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Courier New" w:hAnsi="Courier New"/>
                <w:color w:val="232D37"/>
                <w:sz w:val="17"/>
              </w:rPr>
              <w:t>museum-audio-guide/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museum-audio-guide.php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includes/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includes/rest/routes.php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src/resolvers/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assets/css/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assets/js/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templates/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acf-json/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tests/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├── uninstall.php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└── wpml-config.xml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384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684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Responsibility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config.php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Integration settings, guide identity, object CPT and semantic mapping.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security.php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Capabilities and security helpers.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branding.php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Branding settings and design tokens.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ui-text.php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Visitor-facing terminology.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post-types.php / taxonomies.php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CPT and taxonomy registration.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 Local JSON integration and dynamic target logic.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audio-metadata.php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Automatic audio-duration metadata resolution.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language.php / wpml.php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Language resolution and WPML integration.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entry.php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rewrite/entry handling, language gate and noindex behavior.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stations.php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Station numbers, QR/NFC admin workflow.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 mode and location settings.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analytics.php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Analytics configuration.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frontend.php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Frontend asset loading and app bootstrap.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cache.php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Transient caching.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validation.php / readiness.php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Data validation and publishing readiness.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preview.php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Admin preview.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system-check.php / qa.php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Environment and regression checks.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diagnostics.php / debug.php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Resolver inspector and diagnostic logging.</w:t>
            </w:r>
          </w:p>
        </w:tc>
      </w:tr>
      <w:tr>
        <w:tc>
          <w:tcPr>
            <w:tcW w:type="dxa" w:w="33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content-transfer.php / import-export.php</w:t>
            </w:r>
          </w:p>
        </w:tc>
        <w:tc>
          <w:tcPr>
            <w:tcW w:type="dxa" w:w="68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content and configuration transfer.</w:t>
            </w:r>
          </w:p>
        </w:tc>
      </w:tr>
    </w:tbl>
    <w:p>
      <w:pPr>
        <w:spacing w:after="40"/>
      </w:pPr>
    </w:p>
    <w:p>
      <w:pPr>
        <w:pStyle w:val="Title"/>
      </w:pPr>
      <w:r>
        <w:t>3. Technology stack and runtime dependencies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024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Layer</w:t>
            </w:r>
          </w:p>
        </w:tc>
        <w:tc>
          <w:tcPr>
            <w:tcW w:type="dxa" w:w="720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Technology / behavior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Backend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PHP and WordPress Plugin API.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CMS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WordPress; plugin declares WordPress 6+ compatibility in documentation.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Custom fields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 Pro with bundled Local JSON definitions; raw post-meta fallback exists in multiple resolvers.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API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WordPress REST API under museum-guide/v1.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Frontend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Vanilla JavaScript application, no framework dependency.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Styling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CSS and runtime CSS custom properties.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Indoor maps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SVG map file + percentage-like X/Y marker coordinates.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 maps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Google Maps JavaScript API, modern library loading / marker flow.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Location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Browser Geolocation API; proximity calculated client-side.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Visitor state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localStorage.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Multilingual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WPML integration; single-language fallback when WPML is absent.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QR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Bundled local QR generation engine.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NFC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Canonical guide URL intended as standard URI/NDEF payload.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Analytics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dataLayer, gtag and CustomEvent adapters; analytics library itself is not loaded by MAG.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QA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WordPress runtime QA + shell regression suite.</w:t>
            </w:r>
          </w:p>
        </w:tc>
      </w:tr>
    </w:tbl>
    <w:p>
      <w:pPr>
        <w:spacing w:after="40"/>
      </w:pPr>
    </w:p>
    <w:p>
      <w:pPr>
        <w:pStyle w:val="Title"/>
      </w:pPr>
      <w:r>
        <w:t>4. Content model and relationships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0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Entity</w:t>
            </w:r>
          </w:p>
        </w:tc>
        <w:tc>
          <w:tcPr>
            <w:tcW w:type="dxa" w:w="216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Machine name</w:t>
            </w:r>
          </w:p>
        </w:tc>
        <w:tc>
          <w:tcPr>
            <w:tcW w:type="dxa" w:w="6263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</w:tr>
      <w:tr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Object</w:t>
            </w:r>
          </w:p>
        </w:tc>
        <w:tc>
          <w:tcPr>
            <w:tcW w:type="dxa" w:w="21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mag_object</w:t>
            </w:r>
          </w:p>
        </w:tc>
        <w:tc>
          <w:tcPr>
            <w:tcW w:type="dxa" w:w="62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Optional internal object CPT; may be replaced by an existing museum object CPT.</w:t>
            </w:r>
          </w:p>
        </w:tc>
      </w:tr>
      <w:tr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</w:t>
            </w:r>
          </w:p>
        </w:tc>
        <w:tc>
          <w:tcPr>
            <w:tcW w:type="dxa" w:w="21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mag_space</w:t>
            </w:r>
          </w:p>
        </w:tc>
        <w:tc>
          <w:tcPr>
            <w:tcW w:type="dxa" w:w="62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Physical hierarchy: building/floor/room/zone; may have image, audio and map.</w:t>
            </w:r>
          </w:p>
        </w:tc>
      </w:tr>
      <w:tr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</w:t>
            </w:r>
          </w:p>
        </w:tc>
        <w:tc>
          <w:tcPr>
            <w:tcW w:type="dxa" w:w="21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mag_story</w:t>
            </w:r>
          </w:p>
        </w:tc>
        <w:tc>
          <w:tcPr>
            <w:tcW w:type="dxa" w:w="62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Curatorial/thematic narrative spanning multiple objects/spaces.</w:t>
            </w:r>
          </w:p>
        </w:tc>
      </w:tr>
      <w:tr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</w:t>
            </w:r>
          </w:p>
        </w:tc>
        <w:tc>
          <w:tcPr>
            <w:tcW w:type="dxa" w:w="21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mag_tour</w:t>
            </w:r>
          </w:p>
        </w:tc>
        <w:tc>
          <w:tcPr>
            <w:tcW w:type="dxa" w:w="62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Ordered visitor experience composed of Tour Stops.</w:t>
            </w:r>
          </w:p>
        </w:tc>
      </w:tr>
      <w:tr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Stop</w:t>
            </w:r>
          </w:p>
        </w:tc>
        <w:tc>
          <w:tcPr>
            <w:tcW w:type="dxa" w:w="21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mag_stop</w:t>
            </w:r>
          </w:p>
        </w:tc>
        <w:tc>
          <w:tcPr>
            <w:tcW w:type="dxa" w:w="62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Contextual station; can reference object, space or story, or act as intro/outro/custom.</w:t>
            </w:r>
          </w:p>
        </w:tc>
      </w:tr>
    </w:tbl>
    <w:p>
      <w:pPr>
        <w:spacing w:after="40"/>
      </w:pPr>
    </w:p>
    <w:p>
      <w:r>
        <w:t>Taxonomies: mag_story_type, mag_tour_type and mag_tour_audience. They are used to categorize narratives, tour themes and intended audiences without coupling those concepts to the object database.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Recommended mental model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Building → Floor → Room → Object describes physical context. Story describes narrative context. Tour Stop binds physical/narrative content into a visit sequence. Tour is the ordered experience.</w:t>
            </w:r>
          </w:p>
        </w:tc>
      </w:tr>
    </w:tbl>
    <w:p>
      <w:pPr>
        <w:spacing w:after="40"/>
      </w:pPr>
    </w:p>
    <w:p>
      <w:pPr>
        <w:pStyle w:val="Title"/>
      </w:pPr>
      <w:r>
        <w:t>5. ACF field model</w:t>
      </w:r>
    </w:p>
    <w:p>
      <w:pPr>
        <w:pStyle w:val="Heading1"/>
      </w:pPr>
      <w:r>
        <w:t>5.1 Object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23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Group</w:t>
            </w:r>
          </w:p>
        </w:tc>
        <w:tc>
          <w:tcPr>
            <w:tcW w:type="dxa" w:w="799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Fields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Location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object_space; map_enabled; map_x; map_y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outdoor_enabled; outdoor_latitude; outdoor_longitude; outdoor_proximity_enabled; outdoor_trigger_radius; outdoor_trigger_behavior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audio_enabled; audio_number; audio_title; audio_file; audio_duration; audio_transcript; audio_image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Additional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audio_featured; detail_image; guide_note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Accessibility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audio_description_file; audio_description_transcript</w:t>
            </w:r>
          </w:p>
        </w:tc>
      </w:tr>
    </w:tbl>
    <w:p>
      <w:pPr>
        <w:spacing w:after="40"/>
      </w:pPr>
    </w:p>
    <w:p>
      <w:pPr>
        <w:pStyle w:val="Heading1"/>
      </w:pPr>
      <w:r>
        <w:t>5.2 Space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1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0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space_type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Building/floor/room/zone semantics.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parent_space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Hierarchy.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space_order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Ordering within parent.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guide_enabled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Visitor visibility/eligibility.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space_intro / space_image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Visitor copy and image.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audio_file / audio_duration / audio_transcript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Space-level audio narrative.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space_map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SVG map associated with the space.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map_x / map_y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Marker position.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map_polygon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Optional shape/area data.</w:t>
            </w:r>
          </w:p>
        </w:tc>
      </w:tr>
    </w:tbl>
    <w:p>
      <w:pPr>
        <w:spacing w:after="40"/>
      </w:pPr>
    </w:p>
    <w:p>
      <w:pPr>
        <w:pStyle w:val="Heading1"/>
      </w:pPr>
      <w:r>
        <w:t>5.3 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1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0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story_intro / story_image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 presentation.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story_featured / story_enabled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Home/editorial visibility.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audio_file / audio_duration / audio_transcript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Narration.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story_objects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Relationship to configured Object CPT.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story_spaces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Relationship to spaces.</w:t>
            </w:r>
          </w:p>
        </w:tc>
      </w:tr>
    </w:tbl>
    <w:p>
      <w:pPr>
        <w:spacing w:after="40"/>
      </w:pPr>
    </w:p>
    <w:p>
      <w:pPr>
        <w:pStyle w:val="Heading1"/>
      </w:pPr>
      <w:r>
        <w:t>5.4 Tour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1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0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tour_intro / tour_cover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presentation.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tour_duration / tour_distance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Estimated visit information.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tour_start_space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Starting physical context.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tour_featured / tour_enabled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Editorial state.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tour_stops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Ordered Relationship list of mag_stop posts.</w:t>
            </w:r>
          </w:p>
        </w:tc>
      </w:tr>
    </w:tbl>
    <w:p>
      <w:pPr>
        <w:spacing w:after="40"/>
      </w:pPr>
    </w:p>
    <w:p>
      <w:pPr>
        <w:pStyle w:val="Heading1"/>
      </w:pPr>
      <w:r>
        <w:t>5.5 Tour Stop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23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Group</w:t>
            </w:r>
          </w:p>
        </w:tc>
        <w:tc>
          <w:tcPr>
            <w:tcW w:type="dxa" w:w="799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Fields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Type/source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stop_type; stop_object; stop_space; stop_story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Context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stop_title; stop_intro; stop_image; show_map; stop_cta_label; stop_cta_link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override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stop_audio_override; stop_audio; stop_audio_duration; stop_transcript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Kids interaction</w:t>
            </w:r>
          </w:p>
        </w:tc>
        <w:tc>
          <w:tcPr>
            <w:tcW w:type="dxa" w:w="79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kids_interaction_enabled; kids_question; kids_hint; kids_answer; kids_image</w:t>
            </w:r>
          </w:p>
        </w:tc>
      </w:tr>
    </w:tbl>
    <w:p>
      <w:pPr>
        <w:spacing w:after="40"/>
      </w:pPr>
    </w:p>
    <w:p>
      <w:pPr>
        <w:pStyle w:val="Title"/>
      </w:pPr>
      <w:r>
        <w:t>6. Object integration and semantic field mapping</w:t>
      </w:r>
    </w:p>
    <w:p>
      <w:r>
        <w:t>The plugin can use mag_object or a pre-existing museum CPT. Integration settings define the active object_post_type. ACF target logic then points Object fields, stop_object and story_objects at that configured CPT.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311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Normalized concept</w:t>
            </w:r>
          </w:p>
        </w:tc>
        <w:tc>
          <w:tcPr>
            <w:tcW w:type="dxa" w:w="691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Typical source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Title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WordPress title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Main image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Featured image or mapped image field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Author / creator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ACF/meta e.g. autor, creator, artist_name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Dating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ACF/meta dating/date field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Material / technique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ACF/meta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Inventory number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ACF/meta inventory identifier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Short description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Excerpt/content/ACF/meta</w:t>
            </w:r>
          </w:p>
        </w:tc>
      </w:tr>
    </w:tbl>
    <w:p>
      <w:pPr>
        <w:spacing w:after="40"/>
      </w:pPr>
    </w:p>
    <w:p>
      <w:r>
        <w:t>Custom metadata extends the normalized Object response with institution-specific data. Each item defines a label, stable API key, source field, format and order. This allows institution-specific metadata without changing the frontend schema.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Integration principle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The museum collection remains the source of truth. MAG adds visitor-guide metadata and relationships; it should not duplicate or overwrite the institution’s collection model unless mag_object is deliberately used.</w:t>
            </w:r>
          </w:p>
        </w:tc>
      </w:tr>
    </w:tbl>
    <w:p>
      <w:pPr>
        <w:spacing w:after="40"/>
      </w:pPr>
    </w:p>
    <w:p>
      <w:pPr>
        <w:pStyle w:val="Title"/>
      </w:pPr>
      <w:r>
        <w:t>7. Resolver layer and API contract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024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Resolver</w:t>
            </w:r>
          </w:p>
        </w:tc>
        <w:tc>
          <w:tcPr>
            <w:tcW w:type="dxa" w:w="720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Responsibility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common.php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Shared helpers, ACF/meta/image/audio normalization.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object-resolver.php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 content, mapped museum metadata, audio, space/map/outdoor state.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space-resolver.php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 content, parent/map resolution, objects and media.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story-resolver.php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 narrative and related objects/spaces.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stop-resolver.php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 type resolution, inheritance and overrides.</w:t>
            </w:r>
          </w:p>
        </w:tc>
      </w:tr>
      <w:tr>
        <w:tc>
          <w:tcPr>
            <w:tcW w:type="dxa" w:w="30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tour-resolver.php</w:t>
            </w:r>
          </w:p>
        </w:tc>
        <w:tc>
          <w:tcPr>
            <w:tcW w:type="dxa" w:w="72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presentation, ordered stop resolution and readiness-related output.</w:t>
            </w:r>
          </w:p>
        </w:tc>
      </w:tr>
    </w:tbl>
    <w:p>
      <w:pPr>
        <w:spacing w:after="40"/>
      </w:pPr>
    </w:p>
    <w:p>
      <w:r>
        <w:t>The core contract is stable normalized data rather than WordPress implementation details. This makes it possible to refactor ACF fields or integrate a different collection CPT while keeping the frontend unchanged.</w:t>
      </w:r>
    </w:p>
    <w:p>
      <w:pPr>
        <w:pStyle w:val="Title"/>
      </w:pPr>
      <w:r>
        <w:t>8. REST API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4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Endpoint</w:t>
            </w:r>
          </w:p>
        </w:tc>
        <w:tc>
          <w:tcPr>
            <w:tcW w:type="dxa" w:w="67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/language/resolve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 destination/language context.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/guide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Application bootstrap/home data and settings.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/tours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Public/ready tours.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/tour/{id}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tour.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/station/{number}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 canonical/tolerant station number.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/object/{id}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object.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/outdoor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Outdoor-enabled objects and map payload.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/spaces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Guide-enabled spaces.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/stories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Guide-enabled stories.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/map/{id}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Indoor map payload for a space/floor context.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/space/{id}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space.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/story/{id}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story.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/stop/{id}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Tour Stop.</w:t>
            </w:r>
          </w:p>
        </w:tc>
      </w:tr>
    </w:tbl>
    <w:p>
      <w:pPr>
        <w:spacing w:after="40"/>
      </w:pPr>
    </w:p>
    <w:p>
      <w:r>
        <w:t>Responses use a wrapper with success, language and data. Error responses include code and message. The REST namespace is versioned as museum-guide/v1; breaking contract changes should require a new API version rather than silently changing v1.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4F6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Courier New" w:hAnsi="Courier New"/>
                <w:color w:val="232D37"/>
                <w:sz w:val="17"/>
              </w:rPr>
              <w:t>{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"success": true,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"language": "en",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 xml:space="preserve">  "data": { ... }</w:t>
            </w:r>
            <w:r>
              <w:br/>
            </w:r>
            <w:r>
              <w:rPr>
                <w:rFonts w:ascii="Courier New" w:hAnsi="Courier New"/>
                <w:color w:val="232D37"/>
                <w:sz w:val="17"/>
              </w:rPr>
              <w:t>}</w:t>
            </w:r>
          </w:p>
        </w:tc>
      </w:tr>
    </w:tbl>
    <w:p>
      <w:pPr>
        <w:spacing w:after="40"/>
      </w:pPr>
    </w:p>
    <w:p>
      <w:pPr>
        <w:pStyle w:val="Title"/>
      </w:pPr>
      <w:r>
        <w:t>9. Frontend application and routes</w:t>
      </w:r>
    </w:p>
    <w:p>
      <w:r>
        <w:t>The visitor UI is a custom JavaScript application, not a collection of WordPress single templates. WordPress provides an app shell and bootstrap configuration; subsequent screen changes are handled in the client.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311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Screen / route concept</w:t>
            </w:r>
          </w:p>
        </w:tc>
        <w:tc>
          <w:tcPr>
            <w:tcW w:type="dxa" w:w="691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Home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intro, featured content, active tour continuation.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Tours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Available tours.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details and ordered stops.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Resolved station in tour context.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Museum object detail and audio.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Room/space detail, image, audio and map.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Curatorial narrative.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Number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Manual station-number lookup.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Saved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Local saved objects.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Indoor map.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 Map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Google Maps-based outdoor discovery.</w:t>
            </w:r>
          </w:p>
        </w:tc>
      </w:tr>
    </w:tbl>
    <w:p>
      <w:pPr>
        <w:spacing w:after="40"/>
      </w:pPr>
    </w:p>
    <w:p>
      <w:r>
        <w:t>The guide entry slug is configurable; default /guide/. Deep links support object, space, story and tour contexts. New code should always use the entry helper rather than hardcoding /guide/.</w:t>
      </w:r>
    </w:p>
    <w:p>
      <w:r>
        <w:t>Guide routes are noindex by default and can emit X-Robots-Tag: noindex, follow. This keeps the visitor application from competing with the museum website as an SEO destination unless an administrator explicitly changes the setting.</w:t>
      </w:r>
    </w:p>
    <w:p>
      <w:pPr>
        <w:pStyle w:val="Title"/>
      </w:pPr>
      <w:r>
        <w:t>10. Audio system and transcripts</w:t>
      </w:r>
    </w:p>
    <w:p>
      <w:pPr>
        <w:pStyle w:val="ListBullet"/>
        <w:spacing w:after="60"/>
      </w:pPr>
      <w:r>
        <w:rPr>
          <w:b/>
        </w:rPr>
        <w:t xml:space="preserve">Audio sources: </w:t>
      </w:r>
      <w:r>
        <w:t>Object, Space, Story and Tour Stop override.</w:t>
      </w:r>
    </w:p>
    <w:p>
      <w:pPr>
        <w:pStyle w:val="ListBullet"/>
        <w:spacing w:after="60"/>
      </w:pPr>
      <w:r>
        <w:rPr>
          <w:b/>
        </w:rPr>
        <w:t xml:space="preserve">Playback controls: </w:t>
      </w:r>
      <w:r>
        <w:t>play/pause, progress, seeking, elapsed/duration and configured playback-speed options.</w:t>
      </w:r>
    </w:p>
    <w:p>
      <w:pPr>
        <w:pStyle w:val="ListBullet"/>
        <w:spacing w:after="60"/>
      </w:pPr>
      <w:r>
        <w:rPr>
          <w:b/>
        </w:rPr>
        <w:t xml:space="preserve">Automatic duration: </w:t>
      </w:r>
      <w:r>
        <w:t>from v1.12.10, if audio_duration is empty the plugin resolves duration from WordPress audio attachment metadata; a manually entered value remains an override.</w:t>
      </w:r>
    </w:p>
    <w:p>
      <w:pPr>
        <w:pStyle w:val="ListBullet"/>
        <w:spacing w:after="60"/>
      </w:pPr>
      <w:r>
        <w:rPr>
          <w:b/>
        </w:rPr>
        <w:t xml:space="preserve">Transcript behavior: </w:t>
      </w:r>
      <w:r>
        <w:t>Object/Story/custom audio can expose a transcript. Space UX intentionally avoids duplicating transcript content when the visible space text already carries the same narrative.</w:t>
      </w:r>
    </w:p>
    <w:p>
      <w:pPr>
        <w:pStyle w:val="ListBullet"/>
        <w:spacing w:after="60"/>
      </w:pPr>
      <w:r>
        <w:rPr>
          <w:b/>
        </w:rPr>
        <w:t xml:space="preserve">Long text handling: </w:t>
      </w:r>
      <w:r>
        <w:t>configurable transcript max heights by breakpoint and Show more/Show less behavior for long intros.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UX decision in this branch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The duplicated floating/popup player was removed from the visitor experience. Audio should have one clear inline control in the relevant content context.</w:t>
            </w:r>
          </w:p>
        </w:tc>
      </w:tr>
    </w:tbl>
    <w:p>
      <w:pPr>
        <w:spacing w:after="40"/>
      </w:pPr>
    </w:p>
    <w:p>
      <w:pPr>
        <w:pStyle w:val="Title"/>
      </w:pPr>
      <w:r>
        <w:t>11. Indoor mapping</w:t>
      </w:r>
    </w:p>
    <w:p>
      <w:r>
        <w:t>Indoor mapping is deliberately deterministic and content-managed: SVG floor/space plan + editor-defined coordinates. The plugin does not claim automatic indoor location without dedicated infrastructure.</w:t>
      </w:r>
    </w:p>
    <w:p>
      <w:pPr>
        <w:pStyle w:val="ListBullet"/>
        <w:spacing w:after="60"/>
      </w:pPr>
      <w:r>
        <w:rPr>
          <w:b/>
        </w:rPr>
        <w:t xml:space="preserve">Map source: </w:t>
      </w:r>
      <w:r>
        <w:t>space_map SVG file.</w:t>
      </w:r>
    </w:p>
    <w:p>
      <w:pPr>
        <w:pStyle w:val="ListBullet"/>
        <w:spacing w:after="60"/>
      </w:pPr>
      <w:r>
        <w:rPr>
          <w:b/>
        </w:rPr>
        <w:t xml:space="preserve">Markers: </w:t>
      </w:r>
      <w:r>
        <w:t>map_x and map_y on spaces/objects.</w:t>
      </w:r>
    </w:p>
    <w:p>
      <w:pPr>
        <w:pStyle w:val="ListBullet"/>
        <w:spacing w:after="60"/>
      </w:pPr>
      <w:r>
        <w:rPr>
          <w:b/>
        </w:rPr>
        <w:t xml:space="preserve">Optional area shape: </w:t>
      </w:r>
      <w:r>
        <w:t>map_polygon.</w:t>
      </w:r>
    </w:p>
    <w:p>
      <w:pPr>
        <w:pStyle w:val="ListBullet"/>
        <w:spacing w:after="60"/>
      </w:pPr>
      <w:r>
        <w:rPr>
          <w:b/>
        </w:rPr>
        <w:t xml:space="preserve">Inheritance: </w:t>
      </w:r>
      <w:r>
        <w:t>a room can use the nearest parent map when it does not carry its own SVG.</w:t>
      </w:r>
    </w:p>
    <w:p>
      <w:pPr>
        <w:pStyle w:val="ListBullet"/>
        <w:spacing w:after="60"/>
      </w:pPr>
      <w:r>
        <w:rPr>
          <w:b/>
        </w:rPr>
        <w:t xml:space="preserve">Visitor behavior: </w:t>
      </w:r>
      <w:r>
        <w:t>space map can show the current-space marker and object markers; object markers can navigate to object detail.</w:t>
      </w:r>
    </w:p>
    <w:p>
      <w:pPr>
        <w:pStyle w:val="ListBullet"/>
        <w:spacing w:after="60"/>
      </w:pPr>
      <w:r>
        <w:rPr>
          <w:b/>
        </w:rPr>
        <w:t xml:space="preserve">Tour integration: </w:t>
      </w:r>
      <w:r>
        <w:t>a Space-type Tour Stop can display the map when show_map is enabled.</w:t>
      </w:r>
    </w:p>
    <w:p>
      <w:r>
        <w:t>The /map/{id} endpoint provides normalized map payload. This is the extension point for the planned multi-floor switcher and richer floor-level navigation.</w:t>
      </w:r>
    </w:p>
    <w:p>
      <w:pPr>
        <w:pStyle w:val="Title"/>
      </w:pPr>
      <w:r>
        <w:t>12. Outdoor mode and geolocation</w:t>
      </w:r>
    </w:p>
    <w:p>
      <w:r>
        <w:t>The plugin supports Indoor, Outdoor and Hybrid guide modes. Outdoor mode uses Google Maps and browser geolocation. Google Maps is loaded only when needed.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1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Setting / concept</w:t>
            </w:r>
          </w:p>
        </w:tc>
        <w:tc>
          <w:tcPr>
            <w:tcW w:type="dxa" w:w="70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Behavior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Coordinates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Per-object latitude and longitude.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Proximity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Optional radius-based suggestion/highlight/open behavior.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Location permission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Explicit browser permission; watchPosition used when active.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Distance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Computed locally in the browser using Haversine-style distance calculation.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Privacy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Precise visitor latitude/longitude and GPS accuracy are not sent to WordPress or analytics.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Controls</w:t>
            </w:r>
          </w:p>
        </w:tc>
        <w:tc>
          <w:tcPr>
            <w:tcW w:type="dxa" w:w="70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Configurable radius, acceptable accuracy, cooldown and trigger behavior.</w:t>
            </w:r>
          </w:p>
        </w:tc>
      </w:tr>
    </w:tbl>
    <w:p>
      <w:pPr>
        <w:spacing w:after="40"/>
      </w:pPr>
    </w:p>
    <w:p>
      <w:pPr>
        <w:pStyle w:val="Title"/>
      </w:pPr>
      <w:r>
        <w:t>13. QR, NFC and station-number system</w:t>
      </w:r>
    </w:p>
    <w:p>
      <w:r>
        <w:t>The physical visitor touchpoint is centered on one canonical station identity: audio_number. Manual number entry, QR and NFC should all resolve to the same guide destination rather than creating parallel identifiers.</w:t>
      </w:r>
    </w:p>
    <w:p>
      <w:pPr>
        <w:pStyle w:val="ListBullet"/>
        <w:spacing w:after="60"/>
      </w:pPr>
      <w:r>
        <w:rPr>
          <w:b/>
        </w:rPr>
        <w:t xml:space="preserve">Station numbers: </w:t>
      </w:r>
      <w:r>
        <w:t>string-based; leading zeroes are preserved; alphabetic prefixes are supported.</w:t>
      </w:r>
    </w:p>
    <w:p>
      <w:pPr>
        <w:pStyle w:val="ListBullet"/>
        <w:spacing w:after="60"/>
      </w:pPr>
      <w:r>
        <w:rPr>
          <w:b/>
        </w:rPr>
        <w:t xml:space="preserve">Tolerant lookup: </w:t>
      </w:r>
      <w:r>
        <w:t>input such as 23 may resolve canonical 023 while preserving canonical display.</w:t>
      </w:r>
    </w:p>
    <w:p>
      <w:pPr>
        <w:pStyle w:val="ListBullet"/>
        <w:spacing w:after="60"/>
      </w:pPr>
      <w:r>
        <w:rPr>
          <w:b/>
        </w:rPr>
        <w:t xml:space="preserve">QR: </w:t>
      </w:r>
      <w:r>
        <w:t>generated locally; no external QR generation service is required.</w:t>
      </w:r>
    </w:p>
    <w:p>
      <w:pPr>
        <w:pStyle w:val="ListBullet"/>
        <w:spacing w:after="60"/>
      </w:pPr>
      <w:r>
        <w:rPr>
          <w:b/>
        </w:rPr>
        <w:t xml:space="preserve">NFC: </w:t>
      </w:r>
      <w:r>
        <w:t>uses the same canonical guide URL as a standard URI/NDEF payload.</w:t>
      </w:r>
    </w:p>
    <w:p>
      <w:pPr>
        <w:pStyle w:val="ListBullet"/>
        <w:spacing w:after="60"/>
      </w:pPr>
      <w:r>
        <w:rPr>
          <w:b/>
        </w:rPr>
        <w:t xml:space="preserve">Admin station screen: </w:t>
      </w:r>
      <w:r>
        <w:t>can expose QR, PNG download/print flow, NFC URL copy and station number.</w:t>
      </w:r>
    </w:p>
    <w:p>
      <w:pPr>
        <w:pStyle w:val="Title"/>
      </w:pPr>
      <w:r>
        <w:t>14. Multilingual behavior</w:t>
      </w:r>
    </w:p>
    <w:p>
      <w:r>
        <w:t>Version 1.12.11 integrates primarily with WPML. WPML is optional: without it, the guide opens directly in single-language mode; with it, the entry layer can present language choice and resolve translated content.</w:t>
      </w:r>
    </w:p>
    <w:p>
      <w:pPr>
        <w:pStyle w:val="ListBullet"/>
        <w:spacing w:after="60"/>
      </w:pPr>
      <w:r>
        <w:rPr>
          <w:b/>
        </w:rPr>
        <w:t xml:space="preserve">WPML hooks: </w:t>
      </w:r>
      <w:r>
        <w:t>current language, object translation and active language resolution.</w:t>
      </w:r>
    </w:p>
    <w:p>
      <w:pPr>
        <w:pStyle w:val="ListBullet"/>
        <w:spacing w:after="60"/>
      </w:pPr>
      <w:r>
        <w:rPr>
          <w:b/>
        </w:rPr>
        <w:t xml:space="preserve">Deep-link preservation: </w:t>
      </w:r>
      <w:r>
        <w:t>language selection should keep the current object/tour/story context.</w:t>
      </w:r>
    </w:p>
    <w:p>
      <w:pPr>
        <w:pStyle w:val="ListBullet"/>
        <w:spacing w:after="60"/>
      </w:pPr>
      <w:r>
        <w:rPr>
          <w:b/>
        </w:rPr>
        <w:t xml:space="preserve">UI strings: </w:t>
      </w:r>
      <w:r>
        <w:t>plugin UI terminology can be registered for WPML String Translation.</w:t>
      </w:r>
    </w:p>
    <w:p>
      <w:pPr>
        <w:pStyle w:val="ListBullet"/>
        <w:spacing w:after="60"/>
      </w:pPr>
      <w:r>
        <w:rPr>
          <w:b/>
        </w:rPr>
        <w:t xml:space="preserve">Known boundary: </w:t>
      </w:r>
      <w:r>
        <w:t>there is no provider abstraction or Polylang adapter in this version.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Planned extension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Introduce a Language Provider interface with Single-language, WPML and Polylang adapters. Single-language mode should be a normal status, not a warning.</w:t>
            </w:r>
          </w:p>
        </w:tc>
      </w:tr>
    </w:tbl>
    <w:p>
      <w:pPr>
        <w:spacing w:after="40"/>
      </w:pPr>
    </w:p>
    <w:p>
      <w:pPr>
        <w:pStyle w:val="Title"/>
      </w:pPr>
      <w:r>
        <w:t>15. Branding and UI terminology</w:t>
      </w:r>
    </w:p>
    <w:p>
      <w:r>
        <w:t>The plugin has institution-facing branding and terminology settings so deployments can look and read like the museum rather than like a generic plugin.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304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792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Examples</w:t>
            </w:r>
          </w:p>
        </w:tc>
      </w:tr>
      <w:tr>
        <w:tc>
          <w:tcPr>
            <w:tcW w:type="dxa" w:w="23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Branding</w:t>
            </w:r>
          </w:p>
        </w:tc>
        <w:tc>
          <w:tcPr>
            <w:tcW w:type="dxa" w:w="79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Logo, logo width, light/dark/system theme, accent/secondary/background/surface/text/muted/line colors, dark palette, fonts, radius, app max-width, player style.</w:t>
            </w:r>
          </w:p>
        </w:tc>
      </w:tr>
      <w:tr>
        <w:tc>
          <w:tcPr>
            <w:tcW w:type="dxa" w:w="23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Runtime application</w:t>
            </w:r>
          </w:p>
        </w:tc>
        <w:tc>
          <w:tcPr>
            <w:tcW w:type="dxa" w:w="79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Values are passed as CSS custom properties/design tokens.</w:t>
            </w:r>
          </w:p>
        </w:tc>
      </w:tr>
      <w:tr>
        <w:tc>
          <w:tcPr>
            <w:tcW w:type="dxa" w:w="23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UI terminology</w:t>
            </w:r>
          </w:p>
        </w:tc>
        <w:tc>
          <w:tcPr>
            <w:tcW w:type="dxa" w:w="79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Home, Map, Number, Saved, Tours, Object, Story, Transcript, Start/Continue Tour, empty states and error copy.</w:t>
            </w:r>
          </w:p>
        </w:tc>
      </w:tr>
      <w:tr>
        <w:tc>
          <w:tcPr>
            <w:tcW w:type="dxa" w:w="23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Localization</w:t>
            </w:r>
          </w:p>
        </w:tc>
        <w:tc>
          <w:tcPr>
            <w:tcW w:type="dxa" w:w="79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UI text can participate in WPML String Translation.</w:t>
            </w:r>
          </w:p>
        </w:tc>
      </w:tr>
    </w:tbl>
    <w:p>
      <w:pPr>
        <w:spacing w:after="40"/>
      </w:pPr>
    </w:p>
    <w:p>
      <w:pPr>
        <w:pStyle w:val="Title"/>
      </w:pPr>
      <w:r>
        <w:t>16. Accessibility</w:t>
      </w:r>
    </w:p>
    <w:p>
      <w:r>
        <w:t>Accessibility is implemented as a dedicated enhancement layer rather than ad-hoc fixes. The branch contains assets/js/accessibility.js and documented accessibility behavior.</w:t>
      </w:r>
    </w:p>
    <w:p>
      <w:pPr>
        <w:pStyle w:val="ListBullet"/>
        <w:spacing w:after="60"/>
      </w:pPr>
      <w:r>
        <w:t>Keyboard activation and focus management.</w:t>
      </w:r>
    </w:p>
    <w:p>
      <w:pPr>
        <w:pStyle w:val="ListBullet"/>
        <w:spacing w:after="60"/>
      </w:pPr>
      <w:r>
        <w:t>Skip-to-content behavior.</w:t>
      </w:r>
    </w:p>
    <w:p>
      <w:pPr>
        <w:pStyle w:val="ListBullet"/>
        <w:spacing w:after="60"/>
      </w:pPr>
      <w:r>
        <w:t>Accessible transcript/dialog patterns, Escape close, focus trap and focus restoration.</w:t>
      </w:r>
    </w:p>
    <w:p>
      <w:pPr>
        <w:pStyle w:val="ListBullet"/>
        <w:spacing w:after="60"/>
      </w:pPr>
      <w:r>
        <w:t>ARIA state updates and polite live-region messaging.</w:t>
      </w:r>
    </w:p>
    <w:p>
      <w:pPr>
        <w:pStyle w:val="ListBullet"/>
        <w:spacing w:after="60"/>
      </w:pPr>
      <w:r>
        <w:t>Player accessibility.</w:t>
      </w:r>
    </w:p>
    <w:p>
      <w:pPr>
        <w:pStyle w:val="ListBullet"/>
        <w:spacing w:after="60"/>
      </w:pPr>
      <w:r>
        <w:t>Minimum touch-target considerations.</w:t>
      </w:r>
    </w:p>
    <w:p>
      <w:pPr>
        <w:pStyle w:val="ListBullet"/>
        <w:spacing w:after="60"/>
      </w:pPr>
      <w:r>
        <w:t>focus-visible, prefers-reduced-motion and forced-colors support.</w:t>
      </w:r>
    </w:p>
    <w:p>
      <w:pPr>
        <w:pStyle w:val="ListBullet"/>
        <w:spacing w:after="60"/>
      </w:pPr>
      <w:r>
        <w:t>Branding contrast checks in system/QA tooling.</w:t>
      </w:r>
    </w:p>
    <w:p>
      <w:pPr>
        <w:pStyle w:val="ListBullet"/>
        <w:spacing w:after="60"/>
      </w:pPr>
      <w:r>
        <w:t>Object-level audio-description file and transcript fields.</w:t>
      </w:r>
    </w:p>
    <w:p>
      <w:pPr>
        <w:pStyle w:val="Title"/>
      </w:pPr>
      <w:r>
        <w:t>17. Analytics and privacy</w:t>
      </w:r>
    </w:p>
    <w:p>
      <w:r>
        <w:t>Analytics are opt-in and adapter-based. MAG does not itself load Google Analytics; it can dispatch events to an analytics layer already installed on the site.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44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Output</w:t>
            </w:r>
          </w:p>
        </w:tc>
        <w:tc>
          <w:tcPr>
            <w:tcW w:type="dxa" w:w="777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Use</w:t>
            </w:r>
          </w:p>
        </w:tc>
      </w:tr>
      <w:tr>
        <w:tc>
          <w:tcPr>
            <w:tcW w:type="dxa" w:w="24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dataLayer</w:t>
            </w:r>
          </w:p>
        </w:tc>
        <w:tc>
          <w:tcPr>
            <w:tcW w:type="dxa" w:w="77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Google Tag Manager style integration.</w:t>
            </w:r>
          </w:p>
        </w:tc>
      </w:tr>
      <w:tr>
        <w:tc>
          <w:tcPr>
            <w:tcW w:type="dxa" w:w="24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gtag()</w:t>
            </w:r>
          </w:p>
        </w:tc>
        <w:tc>
          <w:tcPr>
            <w:tcW w:type="dxa" w:w="77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Existing Google Analytics tag.</w:t>
            </w:r>
          </w:p>
        </w:tc>
      </w:tr>
      <w:tr>
        <w:tc>
          <w:tcPr>
            <w:tcW w:type="dxa" w:w="24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CustomEvent</w:t>
            </w:r>
          </w:p>
        </w:tc>
        <w:tc>
          <w:tcPr>
            <w:tcW w:type="dxa" w:w="77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Generic browser integration for custom analytics.</w:t>
            </w:r>
          </w:p>
        </w:tc>
      </w:tr>
    </w:tbl>
    <w:p>
      <w:pPr>
        <w:spacing w:after="40"/>
      </w:pPr>
    </w:p>
    <w:p>
      <w:r>
        <w:t>Typical events include guide open, tour open/start/finish, stop view, audio play/pause, transcript interactions, station search, saved items and map/outdoor interactions. Privacy filtering excludes GPS coordinates/accuracy, transcript text, audio URLs, names, email addresses and free-text visitor input.</w:t>
      </w:r>
    </w:p>
    <w:p>
      <w:pPr>
        <w:pStyle w:val="Title"/>
      </w:pPr>
      <w:r>
        <w:t>18. Editorial readiness / Tour Health</w:t>
      </w:r>
    </w:p>
    <w:p>
      <w:r>
        <w:t>Publication status alone is not considered sufficient. The readiness layer prevents incomplete visitor content from being exposed even when WordPress posts are Published.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015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Entity</w:t>
            </w:r>
          </w:p>
        </w:tc>
        <w:tc>
          <w:tcPr>
            <w:tcW w:type="dxa" w:w="820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Typical checks</w:t>
            </w:r>
          </w:p>
        </w:tc>
      </w:tr>
      <w:tr>
        <w:tc>
          <w:tcPr>
            <w:tcW w:type="dxa" w:w="201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Published; audio enabled; station number; audio file; transcript when required; space; coordinates when map-enabled.</w:t>
            </w:r>
          </w:p>
        </w:tc>
      </w:tr>
      <w:tr>
        <w:tc>
          <w:tcPr>
            <w:tcW w:type="dxa" w:w="201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Published; guide enabled; valid type; required content/audio according to current rules.</w:t>
            </w:r>
          </w:p>
        </w:tc>
      </w:tr>
      <w:tr>
        <w:tc>
          <w:tcPr>
            <w:tcW w:type="dxa" w:w="201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Published; enabled; audio/content completeness.</w:t>
            </w:r>
          </w:p>
        </w:tc>
      </w:tr>
      <w:tr>
        <w:tc>
          <w:tcPr>
            <w:tcW w:type="dxa" w:w="201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Stop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Valid source for stop_type; source readiness; override audio correctness.</w:t>
            </w:r>
          </w:p>
        </w:tc>
      </w:tr>
      <w:tr>
        <w:tc>
          <w:tcPr>
            <w:tcW w:type="dxa" w:w="201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Published; enabled; intro; ordered stops; all stops ready.</w:t>
            </w:r>
          </w:p>
        </w:tc>
      </w:tr>
    </w:tbl>
    <w:p>
      <w:pPr>
        <w:spacing w:after="40"/>
      </w:pPr>
    </w:p>
    <w:p>
      <w:r>
        <w:t>A tour that fails readiness can return content_not_ready with HTTP 409. This is an enterprise-oriented editorial safeguard and should not be bypassed casually.</w:t>
      </w:r>
    </w:p>
    <w:p>
      <w:pPr>
        <w:pStyle w:val="Title"/>
      </w:pPr>
      <w:r>
        <w:t>19. Administration, diagnostics and preview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456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Admin area</w:t>
            </w:r>
          </w:p>
        </w:tc>
        <w:tc>
          <w:tcPr>
            <w:tcW w:type="dxa" w:w="6768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Integration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Institution identity, guide slug, object CPT, semantic mapping, custom metadata, noindex, text-display settings, uninstall behavior.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Design &amp; Branding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Visual identity and design tokens.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UI Text &amp; Terminology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Visitor labels and messages.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Analytics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Event dispatch configuration.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Outdoor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Indoor/Outdoor/Hybrid mode, Google Maps settings and proximity behavior.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QR + NFC Stations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Physical station tooling.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 Guide → ACF settings page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title/intro/default image/map, audio skip and autoplay-related guide options.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Tools → Museum Audio Guide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System Check, QA suite, resolver inspector, REST debug, QR test and diagnostics log.</w:t>
            </w:r>
          </w:p>
        </w:tc>
      </w:tr>
      <w:tr>
        <w:tc>
          <w:tcPr>
            <w:tcW w:type="dxa" w:w="34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Admin Preview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Capability-gated preview of tour content before public exposure.</w:t>
            </w:r>
          </w:p>
        </w:tc>
      </w:tr>
    </w:tbl>
    <w:p>
      <w:pPr>
        <w:spacing w:after="40"/>
      </w:pPr>
    </w:p>
    <w:p>
      <w:pPr>
        <w:pStyle w:val="Title"/>
      </w:pPr>
      <w:r>
        <w:t>20. Import/export and migration</w:t>
      </w:r>
    </w:p>
    <w:p>
      <w:pPr>
        <w:pStyle w:val="Heading1"/>
      </w:pPr>
      <w:r>
        <w:t>20.1 Configuration transfer</w:t>
      </w:r>
    </w:p>
    <w:p>
      <w:r>
        <w:t>Transfers Integration configuration, semantic mappings, custom metadata, branding, UI terminology, guide identity and slug. Media attachment IDs are not treated as portable configuration.</w:t>
      </w:r>
    </w:p>
    <w:p>
      <w:pPr>
        <w:pStyle w:val="Heading1"/>
      </w:pPr>
      <w:r>
        <w:t>20.2 Guide Content Transfer</w:t>
      </w:r>
    </w:p>
    <w:p>
      <w:r>
        <w:t>Transfers guide-owned entities: Spaces, Stories, Tour Stops and Tours. Import is two-pass: entities are created first, then cross-entity relationships are rebuilt. External museum objects are matched rather than blindly copied, using inventory number first, then slug, then exact title.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</w:pPr>
            <w:r>
              <w:rPr>
                <w:b/>
                <w:color w:val="183B56"/>
                <w:sz w:val="21"/>
              </w:rPr>
              <w:t>Migration design goal</w:t>
            </w:r>
          </w:p>
          <w:p>
            <w:pPr>
              <w:spacing w:after="0" w:line="269" w:lineRule="auto"/>
            </w:pPr>
            <w:r>
              <w:rPr>
                <w:sz w:val="20"/>
              </w:rPr>
              <w:t>Guide configuration/content should be portable across staging/production while the museum’s collection remains independently managed.</w:t>
            </w:r>
          </w:p>
        </w:tc>
      </w:tr>
    </w:tbl>
    <w:p>
      <w:pPr>
        <w:spacing w:after="40"/>
      </w:pPr>
    </w:p>
    <w:p>
      <w:pPr>
        <w:pStyle w:val="Title"/>
      </w:pPr>
      <w:r>
        <w:t>21. Security, permissions and uninstall behavior</w:t>
      </w:r>
    </w:p>
    <w:p>
      <w:pPr>
        <w:pStyle w:val="ListBullet"/>
        <w:spacing w:after="60"/>
      </w:pPr>
      <w:r>
        <w:rPr>
          <w:b/>
        </w:rPr>
        <w:t xml:space="preserve">Custom capability: </w:t>
      </w:r>
      <w:r>
        <w:t>mag_manage_audio_guide, granted to administrators by default.</w:t>
      </w:r>
    </w:p>
    <w:p>
      <w:pPr>
        <w:pStyle w:val="ListBullet"/>
        <w:spacing w:after="60"/>
      </w:pPr>
      <w:r>
        <w:rPr>
          <w:b/>
        </w:rPr>
        <w:t xml:space="preserve">Admin actions: </w:t>
      </w:r>
      <w:r>
        <w:t>capability and nonce checks are expected for state-changing operations.</w:t>
      </w:r>
    </w:p>
    <w:p>
      <w:pPr>
        <w:pStyle w:val="ListBullet"/>
        <w:spacing w:after="60"/>
      </w:pPr>
      <w:r>
        <w:rPr>
          <w:b/>
        </w:rPr>
        <w:t xml:space="preserve">JSON imports: </w:t>
      </w:r>
      <w:r>
        <w:t>extension/size/schema/capability checks; configuration and content transfers have explicit file-size limits.</w:t>
      </w:r>
    </w:p>
    <w:p>
      <w:pPr>
        <w:pStyle w:val="ListBullet"/>
        <w:spacing w:after="60"/>
      </w:pPr>
      <w:r>
        <w:rPr>
          <w:b/>
        </w:rPr>
        <w:t xml:space="preserve">Deactivate: </w:t>
      </w:r>
      <w:r>
        <w:t>does not delete data.</w:t>
      </w:r>
    </w:p>
    <w:p>
      <w:pPr>
        <w:pStyle w:val="ListBullet"/>
        <w:spacing w:after="60"/>
      </w:pPr>
      <w:r>
        <w:rPr>
          <w:b/>
        </w:rPr>
        <w:t xml:space="preserve">Uninstall: </w:t>
      </w:r>
      <w:r>
        <w:t>does not delete data by default.</w:t>
      </w:r>
    </w:p>
    <w:p>
      <w:pPr>
        <w:pStyle w:val="ListBullet"/>
        <w:spacing w:after="60"/>
      </w:pPr>
      <w:r>
        <w:rPr>
          <w:b/>
        </w:rPr>
        <w:t xml:space="preserve">Explicit cleanup: </w:t>
      </w:r>
      <w:r>
        <w:t>delete_data_on_uninstall can enable plugin-owned cleanup.</w:t>
      </w:r>
    </w:p>
    <w:p>
      <w:pPr>
        <w:pStyle w:val="ListBullet"/>
        <w:spacing w:after="60"/>
      </w:pPr>
      <w:r>
        <w:rPr>
          <w:b/>
        </w:rPr>
        <w:t xml:space="preserve">External collections: </w:t>
      </w:r>
      <w:r>
        <w:t>the configured museum Object CPT must never be deleted by MAG uninstall logic.</w:t>
      </w:r>
    </w:p>
    <w:p>
      <w:pPr>
        <w:pStyle w:val="Title"/>
      </w:pPr>
      <w:r>
        <w:t>22. Cache and performance</w:t>
      </w:r>
    </w:p>
    <w:p>
      <w:r>
        <w:t>The branch uses transient-based resolver caching keyed by entity/identifier/language. Relevant saves invalidate cache. The current invalidation model is intentionally simple and relatively broad.</w:t>
      </w:r>
    </w:p>
    <w:p>
      <w:r>
        <w:t>For very large institutions, future work should include granular dependency invalidation, pagination of large listing endpoints, media/CDN strategy, object-cache awareness and optional precomputed tour/map payloads.</w:t>
      </w:r>
    </w:p>
    <w:p>
      <w:pPr>
        <w:pStyle w:val="Title"/>
      </w:pPr>
      <w:r>
        <w:t>23. QA and test tooling</w:t>
      </w:r>
    </w:p>
    <w:p>
      <w:r>
        <w:t>The plugin includes two complementary test layers: WordPress runtime QA and a shell regression suite.</w:t>
      </w:r>
    </w:p>
    <w:p>
      <w:pPr>
        <w:pStyle w:val="ListBullet"/>
        <w:spacing w:after="60"/>
      </w:pPr>
      <w:r>
        <w:t>Environment checks for WordPress/PHP and required configuration.</w:t>
      </w:r>
    </w:p>
    <w:p>
      <w:pPr>
        <w:pStyle w:val="ListBullet"/>
        <w:spacing w:after="60"/>
      </w:pPr>
      <w:r>
        <w:t>CPT/taxonomy existence.</w:t>
      </w:r>
    </w:p>
    <w:p>
      <w:pPr>
        <w:pStyle w:val="ListBullet"/>
        <w:spacing w:after="60"/>
      </w:pPr>
      <w:r>
        <w:t>Bundled ACF JSON checks.</w:t>
      </w:r>
    </w:p>
    <w:p>
      <w:pPr>
        <w:pStyle w:val="ListBullet"/>
        <w:spacing w:after="60"/>
      </w:pPr>
      <w:r>
        <w:t>Resolver and REST callback checks.</w:t>
      </w:r>
    </w:p>
    <w:p>
      <w:pPr>
        <w:pStyle w:val="ListBullet"/>
        <w:spacing w:after="60"/>
      </w:pPr>
      <w:r>
        <w:t>Station-number normalization and lookup behavior.</w:t>
      </w:r>
    </w:p>
    <w:p>
      <w:pPr>
        <w:pStyle w:val="ListBullet"/>
        <w:spacing w:after="60"/>
      </w:pPr>
      <w:r>
        <w:t>Security/capability checks.</w:t>
      </w:r>
    </w:p>
    <w:p>
      <w:pPr>
        <w:pStyle w:val="ListBullet"/>
        <w:spacing w:after="60"/>
      </w:pPr>
      <w:r>
        <w:t>Guide mode and WPML/single-language checks.</w:t>
      </w:r>
    </w:p>
    <w:p>
      <w:pPr>
        <w:pStyle w:val="ListBullet"/>
        <w:spacing w:after="60"/>
      </w:pPr>
      <w:r>
        <w:t>Accessibility and analytics assets.</w:t>
      </w:r>
    </w:p>
    <w:p>
      <w:pPr>
        <w:pStyle w:val="ListBullet"/>
        <w:spacing w:after="60"/>
      </w:pPr>
      <w:r>
        <w:t>Noindex/production behavior.</w:t>
      </w:r>
    </w:p>
    <w:p>
      <w:pPr>
        <w:pStyle w:val="ListBullet"/>
        <w:spacing w:after="60"/>
      </w:pPr>
      <w:r>
        <w:t>Manual QA checklist for real-device and UX cases.</w:t>
      </w:r>
    </w:p>
    <w:p>
      <w:r>
        <w:t>The developer should run the regression suite after any cross-cutting change and use the Resolver Inspector before debugging the frontend. If the resolver/REST payload is correct, the problem is almost certainly in client rendering or state.</w:t>
      </w:r>
    </w:p>
    <w:p>
      <w:pPr>
        <w:pStyle w:val="Title"/>
      </w:pPr>
      <w:r>
        <w:t>24. Known boundaries in v1.12.11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60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Not yet in this branch</w:t>
            </w:r>
          </w:p>
        </w:tc>
        <w:tc>
          <w:tcPr>
            <w:tcW w:type="dxa" w:w="6623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Notes / direction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Generic multilingual provider layer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WPML exists; Polylang/provider abstraction is planned.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Floor switcher UI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 type supports floor and maps; dedicated floor selector/labels/order are planned.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PWA / offline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No service worker, install manifest or offline tour/audio package yet.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Central SaaS licensing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No remote license/account/multi-museum SaaS control plane.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Native iOS/Android app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Current delivery is web application.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Advanced indoor positioning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No BLE/UWB/Wi-Fi positioning; coordinates are content-managed.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Enterprise observability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Diagnostics exist; centralized logs/telemetry across client museums do not.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Large-collection REST pagination</w:t>
            </w:r>
          </w:p>
        </w:tc>
        <w:tc>
          <w:tcPr>
            <w:tcW w:type="dxa" w:w="662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Some listing logic will need stronger pagination/filtering for very large museums.</w:t>
            </w:r>
          </w:p>
        </w:tc>
      </w:tr>
    </w:tbl>
    <w:p>
      <w:pPr>
        <w:spacing w:after="40"/>
      </w:pPr>
    </w:p>
    <w:p>
      <w:pPr>
        <w:pStyle w:val="Title"/>
      </w:pPr>
      <w:r>
        <w:t>25. Recommended developer onboarding path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79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type="dxa" w:w="3600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Files</w:t>
            </w:r>
          </w:p>
        </w:tc>
        <w:tc>
          <w:tcPr>
            <w:tcW w:type="dxa" w:w="583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Goal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museum-audio-guide.php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bootstrap, version and module loading.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DEVELOPER.md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Read project-level developer conventions.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includes/config.php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integration settings and object mapping.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post-types.php + taxonomies.php + acf-json/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the data model.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src/resolvers/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the actual API contract.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includes/rest/routes.php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Map resolvers to public endpoints.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assets/js/app.js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visitor routing, rendering and local state.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8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readiness.php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why published content may not be public.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entry.php + language.php + wpml.php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entry URLs and multilingual flow.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outdoor.php + stations.php + analytics.php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optional visitor subsystems.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36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admin.php + diagnostics.php + qa.php</w:t>
            </w:r>
          </w:p>
        </w:tc>
        <w:tc>
          <w:tcPr>
            <w:tcW w:type="dxa" w:w="5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Understand operational/support tooling.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Title"/>
      </w:pPr>
      <w:r>
        <w:t>Appendix A. Core identifiers and machine names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311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type="dxa" w:w="6912"/>
            <w:vAlign w:val="center"/>
            <w:shd w:fill="183B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8"/>
              </w:rPr>
              <w:t>Identifier(s)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CPTs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mag_object; mag_space; mag_story; mag_tour; mag_stop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Taxonomies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mag_story_type; mag_tour_type; mag_tour_audience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REST namespace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museum-guide/v1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Primary station identifier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audio_number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Object relationship in Tour Stop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stop_object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 relationship in Tour Stop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stop_space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 relationship in Tour Stop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stop_story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 stop list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tour_stops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 relations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story_objects; story_spaces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 hierarchy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parent_space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Indoor coordinates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map_x; map_y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 map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space_map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Custom capability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mag_manage_audio_guide</w:t>
            </w:r>
          </w:p>
        </w:tc>
      </w:tr>
      <w:tr>
        <w:tc>
          <w:tcPr>
            <w:tcW w:type="dxa" w:w="331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Guide slug helper</w:t>
            </w:r>
          </w:p>
        </w:tc>
        <w:tc>
          <w:tcPr>
            <w:tcW w:type="dxa" w:w="69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mag_entry_slug()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Title"/>
      </w:pPr>
      <w:r>
        <w:t>Appendix B. Development rules that should remain stable</w:t>
      </w:r>
    </w:p>
    <w:p>
      <w:pPr>
        <w:pStyle w:val="ListBullet"/>
        <w:spacing w:after="60"/>
      </w:pPr>
      <w:r>
        <w:t>Frontend consumes REST/resolver output; never bind UI directly to ACF field names.</w:t>
      </w:r>
    </w:p>
    <w:p>
      <w:pPr>
        <w:pStyle w:val="ListBullet"/>
        <w:spacing w:after="60"/>
      </w:pPr>
      <w:r>
        <w:t>Keep the museum’s external Object CPT as source of truth when configured.</w:t>
      </w:r>
    </w:p>
    <w:p>
      <w:pPr>
        <w:pStyle w:val="ListBullet"/>
        <w:spacing w:after="60"/>
      </w:pPr>
      <w:r>
        <w:t>Do not hardcode the guide slug.</w:t>
      </w:r>
    </w:p>
    <w:p>
      <w:pPr>
        <w:pStyle w:val="ListBullet"/>
        <w:spacing w:after="60"/>
      </w:pPr>
      <w:r>
        <w:t>Do not hardcode visitor-facing UI text in new JS where the terminology system should supply it.</w:t>
      </w:r>
    </w:p>
    <w:p>
      <w:pPr>
        <w:pStyle w:val="ListBullet"/>
        <w:spacing w:after="60"/>
      </w:pPr>
      <w:r>
        <w:t>Keep QR, NFC and manual lookup on one canonical station-number/URL model.</w:t>
      </w:r>
    </w:p>
    <w:p>
      <w:pPr>
        <w:pStyle w:val="ListBullet"/>
        <w:spacing w:after="60"/>
      </w:pPr>
      <w:r>
        <w:t>Do not send precise visitor location to the server or analytics.</w:t>
      </w:r>
    </w:p>
    <w:p>
      <w:pPr>
        <w:pStyle w:val="ListBullet"/>
        <w:spacing w:after="60"/>
      </w:pPr>
      <w:r>
        <w:t>Do not create breaking REST changes inside /v1; introduce a new version for contract breaks.</w:t>
      </w:r>
    </w:p>
    <w:p>
      <w:pPr>
        <w:pStyle w:val="ListBullet"/>
        <w:spacing w:after="60"/>
      </w:pPr>
      <w:r>
        <w:t>Treat Tour Health/readiness as a publishing safeguard, not an inconvenience.</w:t>
      </w:r>
    </w:p>
    <w:p>
      <w:pPr>
        <w:pStyle w:val="ListBullet"/>
        <w:spacing w:after="60"/>
      </w:pPr>
      <w:r>
        <w:t>Keep WPML optional; future language adapters should sit behind a neutral provider interface.</w:t>
      </w:r>
    </w:p>
    <w:p>
      <w:pPr>
        <w:pStyle w:val="ListBullet"/>
        <w:spacing w:after="60"/>
      </w:pPr>
      <w:r>
        <w:t>Preserve uninstall safety: never delete an external museum collection CPT.</w:t>
      </w:r>
    </w:p>
    <w:sectPr w:rsidR="00FC693F" w:rsidRPr="0006063C" w:rsidSect="00034616">
      <w:footerReference w:type="default" r:id="rId9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E7880"/>
        <w:sz w:val="16"/>
      </w:rPr>
      <w:t xml:space="preserve">Museum Audio Guide · Technical Specification · v1.12.11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62F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7D9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83B5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183B56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 Label"/>
    <w:pPr>
      <w:spacing w:after="80"/>
    </w:pPr>
    <w:rPr>
      <w:rFonts w:ascii="Aptos" w:hAnsi="Aptos"/>
      <w:b/>
      <w:color w:val="147D92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Museum Audio Guide - Technical Specification v1.12.11</dc:title>
  <dc:subject>Technical handover specification</dc:subject>
  <dc:creator>Museum Audio Guide project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